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279AAA3"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w:t>
      </w:r>
      <w:r w:rsidR="00153140">
        <w:t>Guildford Grove</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Pr="00EF7457" w:rsidRDefault="002940F3">
            <w:pPr>
              <w:pStyle w:val="TableRow"/>
            </w:pPr>
            <w:r w:rsidRPr="00EF7457">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9EAEB06" w:rsidR="002940F3" w:rsidRPr="00EF7457" w:rsidRDefault="00631D80" w:rsidP="00631D80">
            <w:pPr>
              <w:rPr>
                <w:rFonts w:cs="Arial"/>
                <w:color w:val="000000" w:themeColor="text1"/>
              </w:rPr>
            </w:pPr>
            <w:r w:rsidRPr="00EF7457">
              <w:rPr>
                <w:rFonts w:cs="Arial"/>
                <w:color w:val="000000" w:themeColor="text1"/>
              </w:rPr>
              <w:t>Number on roll is 38</w:t>
            </w:r>
            <w:r w:rsidR="00EF7457" w:rsidRPr="00EF7457">
              <w:rPr>
                <w:rFonts w:cs="Arial"/>
                <w:color w:val="000000" w:themeColor="text1"/>
              </w:rPr>
              <w:t>3</w:t>
            </w:r>
            <w:r w:rsidRPr="00EF7457">
              <w:rPr>
                <w:rFonts w:cs="Arial"/>
                <w:color w:val="000000" w:themeColor="text1"/>
              </w:rPr>
              <w:t xml:space="preserve"> (4</w:t>
            </w:r>
            <w:r w:rsidR="00EF7457" w:rsidRPr="00EF7457">
              <w:rPr>
                <w:rFonts w:cs="Arial"/>
                <w:color w:val="000000" w:themeColor="text1"/>
              </w:rPr>
              <w:t>03</w:t>
            </w:r>
            <w:r w:rsidRPr="00EF7457">
              <w:rPr>
                <w:rFonts w:cs="Arial"/>
                <w:color w:val="000000" w:themeColor="text1"/>
              </w:rPr>
              <w:t xml:space="preserve"> with Nursery)</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Pr="00820689" w:rsidRDefault="002940F3">
            <w:pPr>
              <w:pStyle w:val="TableRow"/>
              <w:rPr>
                <w:highlight w:val="cyan"/>
              </w:rPr>
            </w:pPr>
            <w:r w:rsidRPr="00EF7457">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8E6615D" w:rsidR="002940F3" w:rsidRDefault="00EF7457">
            <w:pPr>
              <w:pStyle w:val="TableRow"/>
            </w:pPr>
            <w:r>
              <w:t>37% (148 pupils)</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FA0864" w14:textId="77777777" w:rsidR="002940F3" w:rsidRDefault="00153140">
            <w:pPr>
              <w:pStyle w:val="TableRow"/>
            </w:pPr>
            <w:r>
              <w:t>2022-23,  2023-24</w:t>
            </w:r>
          </w:p>
          <w:p w14:paraId="2A7D54BF" w14:textId="23951FF9" w:rsidR="00153140" w:rsidRDefault="00153140">
            <w:pPr>
              <w:pStyle w:val="TableRow"/>
            </w:pPr>
            <w:r>
              <w:t>2024-25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E20AF6F" w:rsidR="002940F3" w:rsidRDefault="005C79F9">
            <w:pPr>
              <w:pStyle w:val="TableRow"/>
            </w:pPr>
            <w:r>
              <w:t>December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8B94E5C" w:rsidR="002940F3" w:rsidRDefault="005C79F9">
            <w:pPr>
              <w:pStyle w:val="TableRow"/>
            </w:pPr>
            <w:r>
              <w:t>June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Pr="00820689" w:rsidRDefault="002940F3">
            <w:pPr>
              <w:pStyle w:val="TableRow"/>
              <w:rPr>
                <w:highlight w:val="yellow"/>
              </w:rPr>
            </w:pPr>
            <w:r w:rsidRPr="0000629E">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FB3BE2D" w:rsidR="002940F3" w:rsidRDefault="0000629E">
            <w:pPr>
              <w:pStyle w:val="TableRow"/>
            </w:pPr>
            <w:r>
              <w:t>Headteachers- Rona Mackie and Lucy Ryder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Pr="00820689" w:rsidRDefault="002940F3">
            <w:pPr>
              <w:pStyle w:val="TableRow"/>
              <w:rPr>
                <w:highlight w:val="yellow"/>
              </w:rPr>
            </w:pPr>
            <w:r w:rsidRPr="0000629E">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1CB35EB" w:rsidR="002940F3" w:rsidRDefault="0000629E">
            <w:pPr>
              <w:pStyle w:val="TableRow"/>
            </w:pPr>
            <w:r>
              <w:t>Assistant Head-Taruna Peacock</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Pr="00820689" w:rsidRDefault="002940F3">
            <w:pPr>
              <w:pStyle w:val="TableRow"/>
              <w:rPr>
                <w:highlight w:val="yellow"/>
              </w:rPr>
            </w:pPr>
            <w:r w:rsidRPr="0000629E">
              <w:t xml:space="preserve">Governor </w:t>
            </w:r>
            <w:r w:rsidRPr="0000629E">
              <w:rPr>
                <w:szCs w:val="22"/>
              </w:rPr>
              <w:t xml:space="preserve">/ Trustee </w:t>
            </w:r>
            <w:r w:rsidRPr="0000629E">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0599F0CD" w:rsidR="002940F3" w:rsidRDefault="003732FF">
            <w:pPr>
              <w:pStyle w:val="TableRow"/>
            </w:pPr>
            <w:r>
              <w:t>Michelle Riley, Governor Lead for Disadvantaged Pupils</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702E96"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5F72620B" w:rsidR="00702E96" w:rsidRPr="00820689" w:rsidRDefault="00702E96" w:rsidP="00702E96">
            <w:pPr>
              <w:pStyle w:val="TableRow"/>
              <w:rPr>
                <w:highlight w:val="green"/>
              </w:rPr>
            </w:pPr>
            <w:r w:rsidRPr="00B114DC">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8EC877A" w:rsidR="00702E96" w:rsidRDefault="00702E96" w:rsidP="00702E96">
            <w:pPr>
              <w:pStyle w:val="TableRow"/>
            </w:pPr>
            <w:r>
              <w:t>£222,880</w:t>
            </w:r>
          </w:p>
        </w:tc>
      </w:tr>
      <w:tr w:rsidR="00702E96"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893F757" w:rsidR="00702E96" w:rsidRPr="00820689" w:rsidRDefault="00702E96" w:rsidP="00702E96">
            <w:pPr>
              <w:pStyle w:val="TableRow"/>
              <w:rPr>
                <w:highlight w:val="green"/>
              </w:rPr>
            </w:pPr>
            <w:r w:rsidRPr="00B114DC">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13D4505" w:rsidR="00702E96" w:rsidRDefault="00702E96" w:rsidP="00702E96">
            <w:pPr>
              <w:pStyle w:val="TableRow"/>
            </w:pPr>
            <w:r>
              <w:t>£26,392</w:t>
            </w:r>
          </w:p>
        </w:tc>
      </w:tr>
      <w:tr w:rsidR="00702E96"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C5A6AC" w14:textId="77777777" w:rsidR="00702E96" w:rsidRPr="00B114DC" w:rsidRDefault="00702E96" w:rsidP="00702E96">
            <w:pPr>
              <w:pStyle w:val="TableRow"/>
              <w:spacing w:after="120"/>
            </w:pPr>
            <w:r w:rsidRPr="00B114DC">
              <w:t xml:space="preserve">Pupil premium (and recovery premium*) funding carried forward from previous years </w:t>
            </w:r>
            <w:r w:rsidRPr="00B114DC">
              <w:rPr>
                <w:i/>
                <w:iCs/>
              </w:rPr>
              <w:t>(enter £0 if not applicable)</w:t>
            </w:r>
          </w:p>
          <w:p w14:paraId="2A7D54DD" w14:textId="268D821F" w:rsidR="00702E96" w:rsidRPr="00820689" w:rsidRDefault="00702E96" w:rsidP="00702E96">
            <w:pPr>
              <w:pStyle w:val="TableRow"/>
              <w:rPr>
                <w:i/>
                <w:iCs/>
                <w:highlight w:val="green"/>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6308F55" w:rsidR="00702E96" w:rsidRDefault="00702E96" w:rsidP="00702E96">
            <w:pPr>
              <w:pStyle w:val="TableRow"/>
            </w:pPr>
            <w:r>
              <w:t>£0</w:t>
            </w:r>
          </w:p>
        </w:tc>
      </w:tr>
      <w:tr w:rsidR="00702E96"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2E7535" w14:textId="77777777" w:rsidR="00702E96" w:rsidRPr="00B114DC" w:rsidRDefault="00702E96" w:rsidP="00702E96">
            <w:pPr>
              <w:pStyle w:val="TableRow"/>
              <w:spacing w:after="120"/>
              <w:rPr>
                <w:b/>
              </w:rPr>
            </w:pPr>
            <w:r w:rsidRPr="00B114DC">
              <w:rPr>
                <w:b/>
              </w:rPr>
              <w:t>Total budget for this academic year</w:t>
            </w:r>
          </w:p>
          <w:p w14:paraId="2A7D54E1" w14:textId="2953772E" w:rsidR="00702E96" w:rsidRPr="00820689" w:rsidRDefault="00702E96" w:rsidP="00702E96">
            <w:pPr>
              <w:pStyle w:val="TableRow"/>
              <w:rPr>
                <w:i/>
                <w:iCs/>
                <w:highlight w:val="green"/>
              </w:rPr>
            </w:pPr>
            <w:r w:rsidRPr="00B114DC">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357E9A97" w:rsidR="00702E96" w:rsidRDefault="00702E96" w:rsidP="00702E96">
            <w:pPr>
              <w:pStyle w:val="TableRow"/>
            </w:pPr>
            <w:r>
              <w:t>£249,272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348BE" w14:textId="77777777" w:rsidR="00631D80" w:rsidRDefault="00631D80" w:rsidP="00631D80">
            <w:pPr>
              <w:spacing w:line="276" w:lineRule="auto"/>
              <w:jc w:val="both"/>
              <w:rPr>
                <w:rFonts w:cs="Arial"/>
                <w:b/>
                <w:bCs/>
                <w:iCs/>
                <w:lang w:val="en-US"/>
              </w:rPr>
            </w:pPr>
            <w:r w:rsidRPr="00631D80">
              <w:rPr>
                <w:rFonts w:cs="Arial"/>
                <w:b/>
                <w:bCs/>
                <w:iCs/>
                <w:lang w:val="en-US"/>
              </w:rPr>
              <w:t>School Context</w:t>
            </w:r>
          </w:p>
          <w:p w14:paraId="39030376" w14:textId="77777777" w:rsidR="00631D80" w:rsidRDefault="00631D80" w:rsidP="00631D80">
            <w:pPr>
              <w:spacing w:line="276" w:lineRule="auto"/>
              <w:jc w:val="both"/>
              <w:rPr>
                <w:rFonts w:cs="Arial"/>
              </w:rPr>
            </w:pPr>
            <w:r w:rsidRPr="00631D80">
              <w:rPr>
                <w:rFonts w:cs="Arial"/>
              </w:rPr>
              <w:t xml:space="preserve">Guildford Grove is a 2-form entry primary school situated in the Park Barn community located in the Westborough ward. </w:t>
            </w:r>
          </w:p>
          <w:p w14:paraId="16494D21" w14:textId="4D2FACBF" w:rsidR="00631D80" w:rsidRPr="00631D80" w:rsidRDefault="00631D80" w:rsidP="00631D80">
            <w:pPr>
              <w:spacing w:line="276" w:lineRule="auto"/>
              <w:jc w:val="both"/>
              <w:rPr>
                <w:rFonts w:cs="Arial"/>
                <w:b/>
                <w:bCs/>
                <w:color w:val="000000" w:themeColor="text1"/>
              </w:rPr>
            </w:pPr>
            <w:r w:rsidRPr="00631D80">
              <w:rPr>
                <w:rFonts w:cs="Arial"/>
              </w:rPr>
              <w:t xml:space="preserve">The ward has high numbers of CIN, SEND and FSM compared to other wards in the county. </w:t>
            </w:r>
            <w:r w:rsidRPr="00391C41">
              <w:rPr>
                <w:rFonts w:cs="Arial"/>
                <w:bCs/>
              </w:rPr>
              <w:t>Surrey data tells us that 55% of our 0–4-year-old children in the Westborough ward live in the top 30% highest IDACI areas with the highest deprivation. That makes our community 2</w:t>
            </w:r>
            <w:r w:rsidRPr="00391C41">
              <w:rPr>
                <w:rFonts w:cs="Arial"/>
                <w:bCs/>
                <w:vertAlign w:val="superscript"/>
              </w:rPr>
              <w:t>nd</w:t>
            </w:r>
            <w:r w:rsidRPr="00391C41">
              <w:rPr>
                <w:rFonts w:cs="Arial"/>
                <w:bCs/>
              </w:rPr>
              <w:t xml:space="preserve"> in Surrey with the highest level of deprivation (after Stanwell in Spelthorne).</w:t>
            </w:r>
          </w:p>
          <w:p w14:paraId="0558895D" w14:textId="5945A687" w:rsidR="005C79F9" w:rsidRDefault="005C79F9" w:rsidP="00FC0722">
            <w:pPr>
              <w:pStyle w:val="1bodycopy"/>
              <w:tabs>
                <w:tab w:val="left" w:pos="1110"/>
              </w:tabs>
              <w:spacing w:after="0" w:line="276" w:lineRule="auto"/>
              <w:jc w:val="both"/>
              <w:rPr>
                <w:sz w:val="24"/>
                <w:lang w:val="en-GB"/>
              </w:rPr>
            </w:pPr>
            <w:r w:rsidRPr="005C79F9">
              <w:rPr>
                <w:sz w:val="24"/>
                <w:lang w:val="en-GB"/>
              </w:rPr>
              <w:t xml:space="preserve">At </w:t>
            </w:r>
            <w:r w:rsidRPr="005C79F9">
              <w:rPr>
                <w:b/>
                <w:bCs/>
                <w:sz w:val="24"/>
                <w:lang w:val="en-GB"/>
              </w:rPr>
              <w:t>Guildford Grove</w:t>
            </w:r>
            <w:r w:rsidRPr="005C79F9">
              <w:rPr>
                <w:sz w:val="24"/>
                <w:lang w:val="en-GB"/>
              </w:rPr>
              <w:t xml:space="preserve">, we recognise that disadvantaged can go beyond social and economic factors and that some children will face multiple disadvantages to their education. As a school, we strive to provide a culture where </w:t>
            </w:r>
            <w:r w:rsidRPr="005C79F9">
              <w:rPr>
                <w:b/>
                <w:bCs/>
                <w:sz w:val="24"/>
                <w:lang w:val="en-GB"/>
              </w:rPr>
              <w:t>all</w:t>
            </w:r>
            <w:r w:rsidRPr="005C79F9">
              <w:rPr>
                <w:sz w:val="24"/>
                <w:lang w:val="en-GB"/>
              </w:rPr>
              <w:t xml:space="preserve"> children can achieve. We have the greatest ambitions of each and every child in our care so that they have the highest aspirations for their future and their life chances are enhanced. Our ambition is to improve the attainment and well-being outcomes for each disadvantaged child and for each disadvantaged child to make increased progress in their learning. </w:t>
            </w:r>
          </w:p>
          <w:p w14:paraId="61387A28" w14:textId="77777777" w:rsidR="00FC0722" w:rsidRPr="005C79F9" w:rsidRDefault="00FC0722" w:rsidP="00FC0722">
            <w:pPr>
              <w:pStyle w:val="1bodycopy"/>
              <w:tabs>
                <w:tab w:val="left" w:pos="1110"/>
              </w:tabs>
              <w:spacing w:after="0" w:line="276" w:lineRule="auto"/>
              <w:jc w:val="both"/>
              <w:rPr>
                <w:sz w:val="24"/>
                <w:lang w:val="en-GB"/>
              </w:rPr>
            </w:pPr>
          </w:p>
          <w:p w14:paraId="22E2C80F" w14:textId="23DA7788" w:rsidR="00FC0722" w:rsidRDefault="00FC0722" w:rsidP="00FC0722">
            <w:pPr>
              <w:spacing w:line="276" w:lineRule="auto"/>
              <w:jc w:val="both"/>
              <w:rPr>
                <w:iCs/>
                <w:color w:val="auto"/>
                <w:lang w:val="en-US"/>
              </w:rPr>
            </w:pPr>
            <w:r>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Pr>
                <w:iCs/>
                <w:color w:val="auto"/>
                <w:lang w:val="en-US"/>
              </w:rPr>
              <w:t>Implicit in the intended outcomes detailed below, is the intention that non-disadvantaged pupils’ attainment will be sustained and improved alongside progress for their disadvantaged peers.</w:t>
            </w:r>
          </w:p>
          <w:p w14:paraId="07C42B93" w14:textId="77777777" w:rsidR="00FC0722" w:rsidRPr="00576E08" w:rsidRDefault="00FC0722" w:rsidP="00FC0722">
            <w:pPr>
              <w:spacing w:line="276" w:lineRule="auto"/>
              <w:jc w:val="both"/>
              <w:rPr>
                <w:b/>
                <w:bCs/>
              </w:rPr>
            </w:pPr>
            <w:r w:rsidRPr="00576E08">
              <w:rPr>
                <w:b/>
                <w:bCs/>
              </w:rPr>
              <w:t>Our ultimate objectives for our disadvantaged pupils are:</w:t>
            </w:r>
          </w:p>
          <w:p w14:paraId="2199EDFD" w14:textId="77777777" w:rsidR="00FC0722" w:rsidRPr="00391C41" w:rsidRDefault="00FC0722" w:rsidP="00FC0722">
            <w:pPr>
              <w:spacing w:line="276" w:lineRule="auto"/>
              <w:jc w:val="both"/>
            </w:pPr>
            <w:r w:rsidRPr="00391C41">
              <w:t xml:space="preserve"> 1. For disadvantaged pupils to achieve in line with non-disadvantaged pupils.</w:t>
            </w:r>
          </w:p>
          <w:p w14:paraId="5A9D8EBF" w14:textId="1B278DD9" w:rsidR="00FC0722" w:rsidRPr="00391C41" w:rsidRDefault="00FC0722" w:rsidP="00FC0722">
            <w:pPr>
              <w:spacing w:line="276" w:lineRule="auto"/>
              <w:jc w:val="both"/>
            </w:pPr>
            <w:r w:rsidRPr="00391C41">
              <w:t xml:space="preserve"> 2. T</w:t>
            </w:r>
            <w:r w:rsidR="00391C41" w:rsidRPr="00391C41">
              <w:t>hrough quality first teaching and specific intervention, attainment and progress will improve in</w:t>
            </w:r>
            <w:r w:rsidRPr="00391C41">
              <w:t xml:space="preserve"> maths, reading and writing so that they are in line with or above national average</w:t>
            </w:r>
            <w:r w:rsidR="00391C41" w:rsidRPr="00391C41">
              <w:t>.</w:t>
            </w:r>
          </w:p>
          <w:p w14:paraId="0A81976D" w14:textId="1CBE749D" w:rsidR="00FC0722" w:rsidRPr="003C1521" w:rsidRDefault="00FC0722" w:rsidP="00FC0722">
            <w:pPr>
              <w:spacing w:line="276" w:lineRule="auto"/>
              <w:jc w:val="both"/>
              <w:rPr>
                <w:b/>
                <w:bCs/>
              </w:rPr>
            </w:pPr>
            <w:r w:rsidRPr="003C1521">
              <w:t xml:space="preserve"> 3. </w:t>
            </w:r>
            <w:r w:rsidR="003C1521" w:rsidRPr="003C1521">
              <w:t>To ensure the mental health and well being of our families and ensure all our children, especially our disadvantaged pupils are ready and prepared to learn.</w:t>
            </w:r>
          </w:p>
          <w:p w14:paraId="54579F1D" w14:textId="289AF2D6" w:rsidR="00FC0722" w:rsidRDefault="00FC0722" w:rsidP="00FC0722">
            <w:pPr>
              <w:spacing w:line="276" w:lineRule="auto"/>
              <w:jc w:val="both"/>
            </w:pPr>
            <w:r w:rsidRPr="003C1521">
              <w:t xml:space="preserve"> 4. To increase attendance of our disadvantaged pupils.</w:t>
            </w:r>
          </w:p>
          <w:p w14:paraId="5B62C518" w14:textId="77302340" w:rsidR="00FC0722" w:rsidRDefault="00FC0722" w:rsidP="00FC0722">
            <w:pPr>
              <w:spacing w:line="276" w:lineRule="auto"/>
              <w:jc w:val="both"/>
              <w:rPr>
                <w:iCs/>
                <w:lang w:val="en-US"/>
              </w:rPr>
            </w:pPr>
          </w:p>
          <w:p w14:paraId="2A7D54E9" w14:textId="7605DD99" w:rsidR="005C79F9" w:rsidRPr="001D2D53" w:rsidRDefault="005C79F9" w:rsidP="001D2D53">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277F73">
        <w:trPr>
          <w:trHeight w:val="1447"/>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277F73" w:rsidRDefault="009D71E8">
            <w:pPr>
              <w:pStyle w:val="TableRow"/>
            </w:pPr>
            <w:r w:rsidRPr="00277F73">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51CBA" w14:textId="774CA990" w:rsidR="0041720F" w:rsidRDefault="0041720F" w:rsidP="0041720F">
            <w:pPr>
              <w:pStyle w:val="TableRowCentered"/>
              <w:jc w:val="left"/>
              <w:rPr>
                <w:szCs w:val="24"/>
              </w:rPr>
            </w:pPr>
            <w:r w:rsidRPr="00277F73">
              <w:rPr>
                <w:szCs w:val="24"/>
              </w:rPr>
              <w:t xml:space="preserve">We recognise that a high proportion of our Pupil Premium children have multiple, additional barriers to their learning (SEND, Young Carer, EAL, mental health concerns, CP). </w:t>
            </w:r>
            <w:r w:rsidR="002D4AE4">
              <w:rPr>
                <w:szCs w:val="24"/>
              </w:rPr>
              <w:t>High mobility</w:t>
            </w:r>
            <w:r w:rsidRPr="00277F73">
              <w:rPr>
                <w:szCs w:val="24"/>
              </w:rPr>
              <w:t xml:space="preserve"> has increased notabl</w:t>
            </w:r>
            <w:r w:rsidR="002D4AE4">
              <w:rPr>
                <w:szCs w:val="24"/>
              </w:rPr>
              <w:t>y</w:t>
            </w:r>
            <w:r w:rsidRPr="00277F73">
              <w:rPr>
                <w:szCs w:val="24"/>
              </w:rPr>
              <w:t xml:space="preserve"> since Covid.</w:t>
            </w:r>
          </w:p>
          <w:p w14:paraId="211DBA53" w14:textId="315C3BBF" w:rsidR="00E66558" w:rsidRDefault="00C15DC3" w:rsidP="00277F73">
            <w:pPr>
              <w:pStyle w:val="TableRowCentered"/>
              <w:jc w:val="left"/>
              <w:rPr>
                <w:szCs w:val="24"/>
              </w:rPr>
            </w:pPr>
            <w:r>
              <w:rPr>
                <w:szCs w:val="24"/>
              </w:rPr>
              <w:t>See IDSR analysis of the school from previous 3 years:</w:t>
            </w:r>
          </w:p>
          <w:p w14:paraId="2A7D54F1" w14:textId="3A6CEC1F" w:rsidR="00C15DC3" w:rsidRPr="00277F73" w:rsidRDefault="00C15DC3" w:rsidP="00C15DC3">
            <w:pPr>
              <w:pStyle w:val="TableRowCentered"/>
              <w:jc w:val="left"/>
              <w:rPr>
                <w:szCs w:val="24"/>
              </w:rPr>
            </w:pPr>
            <w:r>
              <w:rPr>
                <w:noProof/>
              </w:rPr>
              <w:drawing>
                <wp:inline distT="0" distB="0" distL="0" distR="0" wp14:anchorId="780131C7" wp14:editId="7C529F3B">
                  <wp:extent cx="4496435" cy="1925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22265" cy="1936821"/>
                          </a:xfrm>
                          <a:prstGeom prst="rect">
                            <a:avLst/>
                          </a:prstGeom>
                        </pic:spPr>
                      </pic:pic>
                    </a:graphicData>
                  </a:graphic>
                </wp:inline>
              </w:drawing>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277F73" w:rsidRDefault="009D71E8">
            <w:pPr>
              <w:pStyle w:val="TableRow"/>
            </w:pPr>
            <w:r w:rsidRPr="00277F73">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561B5" w14:textId="3CCE4530" w:rsidR="00277F73" w:rsidRDefault="00277F73" w:rsidP="00277F73">
            <w:pPr>
              <w:spacing w:before="60" w:after="120" w:line="240" w:lineRule="auto"/>
              <w:ind w:left="57" w:right="57"/>
              <w:rPr>
                <w:iCs/>
                <w:color w:val="auto"/>
                <w:lang w:val="en-US"/>
              </w:rPr>
            </w:pPr>
            <w:r>
              <w:rPr>
                <w:rFonts w:cs="Arial"/>
                <w:iCs/>
                <w:color w:val="auto"/>
                <w:lang w:val="en-US"/>
              </w:rPr>
              <w:t>Internal and external assessments indicate</w:t>
            </w:r>
            <w:r>
              <w:rPr>
                <w:iCs/>
                <w:color w:val="auto"/>
                <w:lang w:val="en-US"/>
              </w:rPr>
              <w:t xml:space="preserve"> that reading, writing and maths attainment among disadvantaged pupils is significantly below that of </w:t>
            </w:r>
            <w:r w:rsidR="00C15DC3">
              <w:rPr>
                <w:iCs/>
                <w:color w:val="auto"/>
                <w:lang w:val="en-US"/>
              </w:rPr>
              <w:t>the national average.</w:t>
            </w:r>
          </w:p>
          <w:p w14:paraId="2A0553BE" w14:textId="2CEE8BC0" w:rsidR="00277F73" w:rsidRDefault="00277F73" w:rsidP="00277F73">
            <w:pPr>
              <w:pStyle w:val="TableRowCentered"/>
              <w:jc w:val="left"/>
              <w:rPr>
                <w:rFonts w:cs="Arial"/>
                <w:iCs/>
                <w:color w:val="auto"/>
                <w:lang w:val="en-US" w:eastAsia="en-US"/>
              </w:rPr>
            </w:pPr>
            <w:r w:rsidRPr="00941CEB">
              <w:rPr>
                <w:rFonts w:cs="Arial"/>
                <w:iCs/>
                <w:color w:val="auto"/>
                <w:lang w:val="en-US" w:eastAsia="en-US"/>
              </w:rPr>
              <w:t xml:space="preserve">On entry to Reception class in the last </w:t>
            </w:r>
            <w:r w:rsidR="00941CEB" w:rsidRPr="00941CEB">
              <w:rPr>
                <w:rFonts w:cs="Arial"/>
                <w:iCs/>
                <w:color w:val="auto"/>
                <w:lang w:val="en-US" w:eastAsia="en-US"/>
              </w:rPr>
              <w:t>20</w:t>
            </w:r>
            <w:r w:rsidRPr="00941CEB">
              <w:rPr>
                <w:rFonts w:cs="Arial"/>
                <w:iCs/>
                <w:color w:val="auto"/>
                <w:lang w:val="en-US" w:eastAsia="en-US"/>
              </w:rPr>
              <w:t xml:space="preserve"> years, between </w:t>
            </w:r>
            <w:r w:rsidR="00941CEB" w:rsidRPr="00941CEB">
              <w:rPr>
                <w:rFonts w:cs="Arial"/>
                <w:iCs/>
                <w:color w:val="auto"/>
                <w:lang w:val="en-US" w:eastAsia="en-US"/>
              </w:rPr>
              <w:t>40</w:t>
            </w:r>
            <w:r w:rsidRPr="00941CEB">
              <w:rPr>
                <w:rFonts w:cs="Arial"/>
                <w:iCs/>
                <w:color w:val="auto"/>
                <w:lang w:val="en-US" w:eastAsia="en-US"/>
              </w:rPr>
              <w:t xml:space="preserve"> - </w:t>
            </w:r>
            <w:r w:rsidR="00941CEB" w:rsidRPr="00941CEB">
              <w:rPr>
                <w:rFonts w:cs="Arial"/>
                <w:iCs/>
                <w:color w:val="auto"/>
                <w:lang w:val="en-US" w:eastAsia="en-US"/>
              </w:rPr>
              <w:t>60</w:t>
            </w:r>
            <w:r w:rsidRPr="00941CEB">
              <w:rPr>
                <w:rFonts w:cs="Arial"/>
                <w:iCs/>
                <w:color w:val="auto"/>
                <w:lang w:val="en-US" w:eastAsia="en-US"/>
              </w:rPr>
              <w:t xml:space="preserve">% of our disadvantaged pupils arrive below age-related expectations compared to </w:t>
            </w:r>
            <w:r w:rsidR="00941CEB" w:rsidRPr="00941CEB">
              <w:rPr>
                <w:rFonts w:cs="Arial"/>
                <w:iCs/>
                <w:color w:val="auto"/>
                <w:lang w:val="en-US" w:eastAsia="en-US"/>
              </w:rPr>
              <w:t>40-60</w:t>
            </w:r>
            <w:r w:rsidRPr="00941CEB">
              <w:rPr>
                <w:rFonts w:cs="Arial"/>
                <w:iCs/>
                <w:color w:val="auto"/>
                <w:lang w:val="en-US" w:eastAsia="en-US"/>
              </w:rPr>
              <w:t>% of other pupils. This gap remains steady to the end of KS2.</w:t>
            </w:r>
          </w:p>
          <w:p w14:paraId="2A7D54F4" w14:textId="296A74FE" w:rsidR="00277F73" w:rsidRPr="00277F73" w:rsidRDefault="00277F73" w:rsidP="00277F73">
            <w:pPr>
              <w:pStyle w:val="TableRowCentered"/>
              <w:ind w:left="0"/>
              <w:jc w:val="left"/>
              <w:rPr>
                <w:szCs w:val="24"/>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277F73" w:rsidRDefault="009D71E8">
            <w:pPr>
              <w:pStyle w:val="TableRow"/>
            </w:pPr>
            <w:r w:rsidRPr="00277F73">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E8EC242" w:rsidR="00277F73" w:rsidRPr="00277F73" w:rsidRDefault="00277F73">
            <w:pPr>
              <w:pStyle w:val="TableRowCentered"/>
              <w:jc w:val="left"/>
              <w:rPr>
                <w:szCs w:val="24"/>
              </w:rPr>
            </w:pPr>
            <w:r>
              <w:rPr>
                <w:color w:val="auto"/>
                <w:lang w:val="en-US"/>
              </w:rPr>
              <w:t>Assessments, observations, and discussions with pupils suggest disadvantaged pupils generally have greater difficulties with phonics than their peers. This negatively impacts their development as readers.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277F73" w:rsidRDefault="009D71E8">
            <w:pPr>
              <w:pStyle w:val="TableRow"/>
            </w:pPr>
            <w:r w:rsidRPr="00277F73">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7F13C" w14:textId="77777777" w:rsidR="00E66558" w:rsidRDefault="0041720F">
            <w:pPr>
              <w:pStyle w:val="TableRowCentered"/>
              <w:jc w:val="left"/>
              <w:rPr>
                <w:iCs/>
                <w:szCs w:val="24"/>
              </w:rPr>
            </w:pPr>
            <w:r w:rsidRPr="00277F73">
              <w:rPr>
                <w:iCs/>
                <w:szCs w:val="24"/>
              </w:rPr>
              <w:t>Attendance</w:t>
            </w:r>
            <w:r w:rsidR="00DD63E4" w:rsidRPr="00277F73">
              <w:rPr>
                <w:iCs/>
                <w:szCs w:val="24"/>
              </w:rPr>
              <w:t xml:space="preserve"> and punctuality to school</w:t>
            </w:r>
          </w:p>
          <w:p w14:paraId="66272759" w14:textId="3DFBAC90" w:rsidR="00277F73" w:rsidRDefault="00277F73" w:rsidP="00277F73">
            <w:pPr>
              <w:spacing w:before="60" w:after="120" w:line="240" w:lineRule="auto"/>
              <w:ind w:left="57" w:right="57"/>
              <w:rPr>
                <w:rFonts w:cs="Arial"/>
                <w:iCs/>
                <w:color w:val="auto"/>
                <w:lang w:val="en-US"/>
              </w:rPr>
            </w:pPr>
            <w:r w:rsidRPr="008D63BE">
              <w:rPr>
                <w:rFonts w:cs="Arial"/>
                <w:iCs/>
                <w:color w:val="auto"/>
                <w:lang w:val="en-US"/>
              </w:rPr>
              <w:t xml:space="preserve">Our attendance data over the last </w:t>
            </w:r>
            <w:r w:rsidR="008D63BE" w:rsidRPr="008D63BE">
              <w:rPr>
                <w:rFonts w:cs="Arial"/>
                <w:iCs/>
                <w:color w:val="auto"/>
                <w:lang w:val="en-US"/>
              </w:rPr>
              <w:t>3</w:t>
            </w:r>
            <w:r w:rsidRPr="008D63BE">
              <w:rPr>
                <w:rFonts w:cs="Arial"/>
                <w:iCs/>
                <w:color w:val="auto"/>
                <w:lang w:val="en-US"/>
              </w:rPr>
              <w:t xml:space="preserve"> years indicates that attendance among disadvantaged pupils has been between </w:t>
            </w:r>
            <w:r w:rsidR="008D63BE" w:rsidRPr="008D63BE">
              <w:rPr>
                <w:rFonts w:cs="Arial"/>
                <w:iCs/>
                <w:color w:val="auto"/>
                <w:lang w:val="en-US"/>
              </w:rPr>
              <w:t>2-3</w:t>
            </w:r>
            <w:r w:rsidRPr="008D63BE">
              <w:rPr>
                <w:rFonts w:cs="Arial"/>
                <w:iCs/>
                <w:color w:val="auto"/>
                <w:lang w:val="en-US"/>
              </w:rPr>
              <w:t>% lower than for non-disadvantaged pupils</w:t>
            </w:r>
            <w:r w:rsidR="008D63BE" w:rsidRPr="008D63BE">
              <w:rPr>
                <w:rFonts w:cs="Arial"/>
                <w:iCs/>
                <w:color w:val="auto"/>
                <w:lang w:val="en-US"/>
              </w:rPr>
              <w:t>. This is because a high percentage of our disadvantaged pupils also have additional need which impact attendance</w:t>
            </w:r>
            <w:r w:rsidRPr="008D63BE">
              <w:rPr>
                <w:rFonts w:cs="Arial"/>
                <w:iCs/>
                <w:color w:val="auto"/>
                <w:lang w:val="en-US"/>
              </w:rPr>
              <w:t>.</w:t>
            </w:r>
          </w:p>
          <w:p w14:paraId="2A7D54FA" w14:textId="7375E9FF" w:rsidR="00277F73" w:rsidRPr="00277F73" w:rsidRDefault="008D63BE" w:rsidP="008D63BE">
            <w:pPr>
              <w:spacing w:before="60" w:after="120" w:line="240" w:lineRule="auto"/>
              <w:ind w:left="57" w:right="57"/>
              <w:rPr>
                <w:iCs/>
              </w:rPr>
            </w:pPr>
            <w:r>
              <w:rPr>
                <w:rFonts w:cs="Arial"/>
                <w:iCs/>
                <w:color w:val="auto"/>
                <w:lang w:val="en-US"/>
              </w:rPr>
              <w:t>Guildford Grove works hard to support all pupils with attendance. Weekly meetings with the attendance team enable us to keep up to date with communicating poor attendance with key families.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277F73" w:rsidRDefault="009D71E8">
            <w:pPr>
              <w:pStyle w:val="TableRow"/>
            </w:pPr>
            <w:bookmarkStart w:id="16" w:name="_Toc443397160"/>
            <w:r w:rsidRPr="00277F73">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32B6D63" w:rsidR="00277F73" w:rsidRPr="00277F73" w:rsidRDefault="00277F73">
            <w:pPr>
              <w:pStyle w:val="TableRowCentered"/>
              <w:jc w:val="left"/>
              <w:rPr>
                <w:iCs/>
                <w:szCs w:val="24"/>
              </w:rPr>
            </w:pPr>
            <w:r>
              <w:rPr>
                <w:szCs w:val="24"/>
              </w:rPr>
              <w:t xml:space="preserve">Through teacher discussions, we recognise that the engagement of many of our disadvantaged families has decreased following the school closure period. On some occasions this has been due to deteriorating </w:t>
            </w:r>
            <w:r>
              <w:rPr>
                <w:szCs w:val="24"/>
              </w:rPr>
              <w:lastRenderedPageBreak/>
              <w:t xml:space="preserve">mental health. We recognise that has impacted learning opportunities outside of school and families feeling supported.  </w:t>
            </w:r>
          </w:p>
        </w:tc>
      </w:tr>
      <w:tr w:rsidR="00820689" w14:paraId="5F526C4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F2383" w14:textId="780FC19E" w:rsidR="00820689" w:rsidRPr="00277F73" w:rsidRDefault="00820689">
            <w:pPr>
              <w:pStyle w:val="TableRow"/>
            </w:pPr>
            <w:r w:rsidRPr="00277F73">
              <w:lastRenderedPageBreak/>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3906" w14:textId="6C56115F" w:rsidR="00820689" w:rsidRPr="00277F73" w:rsidRDefault="00446647">
            <w:pPr>
              <w:pStyle w:val="TableRowCentered"/>
              <w:jc w:val="left"/>
              <w:rPr>
                <w:iCs/>
                <w:szCs w:val="24"/>
              </w:rPr>
            </w:pPr>
            <w:r w:rsidRPr="003A65F8">
              <w:rPr>
                <w:iCs/>
                <w:szCs w:val="24"/>
              </w:rPr>
              <w:t>Through discussions with teachers and families we recognise that opportunities for wider learning and enrichment activities have been missed. This</w:t>
            </w:r>
            <w:r w:rsidR="003A65F8">
              <w:rPr>
                <w:iCs/>
                <w:szCs w:val="24"/>
              </w:rPr>
              <w:t xml:space="preserve"> has been made worse</w:t>
            </w:r>
            <w:r w:rsidRPr="003A65F8">
              <w:rPr>
                <w:iCs/>
                <w:szCs w:val="24"/>
              </w:rPr>
              <w:t xml:space="preserve"> as a result of the Covid pandemic</w:t>
            </w:r>
            <w:r w:rsidR="003A65F8">
              <w:rPr>
                <w:iCs/>
                <w:szCs w:val="24"/>
              </w:rPr>
              <w: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EA9B630" w:rsidR="00E66558" w:rsidRPr="00773FF0" w:rsidRDefault="00820689">
            <w:pPr>
              <w:pStyle w:val="TableRow"/>
              <w:rPr>
                <w:b/>
                <w:bCs/>
              </w:rPr>
            </w:pPr>
            <w:r w:rsidRPr="00773FF0">
              <w:rPr>
                <w:b/>
                <w:bCs/>
              </w:rPr>
              <w:t>Improved phonic and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2CD97" w14:textId="00B01538" w:rsidR="00E66558" w:rsidRPr="00773FF0" w:rsidRDefault="007C0DFD" w:rsidP="007C0DFD">
            <w:pPr>
              <w:pStyle w:val="TableRowCentered"/>
              <w:numPr>
                <w:ilvl w:val="0"/>
                <w:numId w:val="14"/>
              </w:numPr>
              <w:jc w:val="left"/>
              <w:rPr>
                <w:szCs w:val="24"/>
              </w:rPr>
            </w:pPr>
            <w:r w:rsidRPr="00773FF0">
              <w:rPr>
                <w:szCs w:val="24"/>
              </w:rPr>
              <w:t xml:space="preserve">SSP- </w:t>
            </w:r>
            <w:r w:rsidRPr="00773FF0">
              <w:rPr>
                <w:i/>
                <w:iCs/>
                <w:szCs w:val="24"/>
              </w:rPr>
              <w:t xml:space="preserve">Little Wandle </w:t>
            </w:r>
            <w:r w:rsidRPr="00773FF0">
              <w:rPr>
                <w:szCs w:val="24"/>
              </w:rPr>
              <w:t>established and embedded across EYFS and KS1</w:t>
            </w:r>
            <w:r w:rsidR="00605C3C" w:rsidRPr="00773FF0">
              <w:rPr>
                <w:szCs w:val="24"/>
              </w:rPr>
              <w:t>.</w:t>
            </w:r>
          </w:p>
          <w:p w14:paraId="7E2AA389" w14:textId="46517DF1" w:rsidR="00605C3C" w:rsidRPr="00773FF0" w:rsidRDefault="00605C3C" w:rsidP="007C0DFD">
            <w:pPr>
              <w:pStyle w:val="TableRowCentered"/>
              <w:numPr>
                <w:ilvl w:val="0"/>
                <w:numId w:val="14"/>
              </w:numPr>
              <w:jc w:val="left"/>
              <w:rPr>
                <w:szCs w:val="24"/>
              </w:rPr>
            </w:pPr>
            <w:r w:rsidRPr="00773FF0">
              <w:rPr>
                <w:szCs w:val="24"/>
              </w:rPr>
              <w:t xml:space="preserve">Decreasing numbers of pupils requiring </w:t>
            </w:r>
            <w:r w:rsidRPr="00773FF0">
              <w:rPr>
                <w:i/>
                <w:iCs/>
                <w:szCs w:val="24"/>
              </w:rPr>
              <w:t>LW Rapid Catch Up programme by 2024/2025</w:t>
            </w:r>
          </w:p>
          <w:p w14:paraId="3F596F00" w14:textId="10F2DC06" w:rsidR="00605C3C" w:rsidRPr="00773FF0" w:rsidRDefault="00605C3C" w:rsidP="007C0DFD">
            <w:pPr>
              <w:pStyle w:val="TableRowCentered"/>
              <w:numPr>
                <w:ilvl w:val="0"/>
                <w:numId w:val="14"/>
              </w:numPr>
              <w:jc w:val="left"/>
              <w:rPr>
                <w:szCs w:val="24"/>
              </w:rPr>
            </w:pPr>
            <w:r w:rsidRPr="00773FF0">
              <w:rPr>
                <w:szCs w:val="24"/>
              </w:rPr>
              <w:t>Bespoke quality reading spine is embedded across EYFS, KS1 and KS2.</w:t>
            </w:r>
          </w:p>
          <w:p w14:paraId="4FEF8D5F" w14:textId="33530D68" w:rsidR="00605C3C" w:rsidRPr="00773FF0" w:rsidRDefault="00605C3C" w:rsidP="007C0DFD">
            <w:pPr>
              <w:pStyle w:val="TableRowCentered"/>
              <w:numPr>
                <w:ilvl w:val="0"/>
                <w:numId w:val="14"/>
              </w:numPr>
              <w:jc w:val="left"/>
              <w:rPr>
                <w:szCs w:val="24"/>
              </w:rPr>
            </w:pPr>
            <w:r w:rsidRPr="00773FF0">
              <w:rPr>
                <w:szCs w:val="24"/>
              </w:rPr>
              <w:t>Assessments reflect improved reading fluency.</w:t>
            </w:r>
          </w:p>
          <w:p w14:paraId="68A3838C" w14:textId="33131EA7" w:rsidR="007C0DFD" w:rsidRPr="00CD572A" w:rsidRDefault="007C0DFD" w:rsidP="007C0DFD">
            <w:pPr>
              <w:pStyle w:val="TableRowCentered"/>
              <w:numPr>
                <w:ilvl w:val="0"/>
                <w:numId w:val="14"/>
              </w:numPr>
              <w:jc w:val="left"/>
              <w:rPr>
                <w:szCs w:val="24"/>
              </w:rPr>
            </w:pPr>
            <w:r w:rsidRPr="00CD572A">
              <w:rPr>
                <w:szCs w:val="24"/>
              </w:rPr>
              <w:t xml:space="preserve">Y1 Phonics screening check in 2024/2025 </w:t>
            </w:r>
            <w:r w:rsidR="00CD572A" w:rsidRPr="00CD572A">
              <w:rPr>
                <w:szCs w:val="24"/>
              </w:rPr>
              <w:t>is in line with National figures</w:t>
            </w:r>
          </w:p>
          <w:p w14:paraId="3341E560" w14:textId="68CBDF88" w:rsidR="007C0DFD" w:rsidRPr="00CD572A" w:rsidRDefault="007C0DFD" w:rsidP="007C0DFD">
            <w:pPr>
              <w:pStyle w:val="TableRowCentered"/>
              <w:numPr>
                <w:ilvl w:val="0"/>
                <w:numId w:val="14"/>
              </w:numPr>
              <w:jc w:val="left"/>
              <w:rPr>
                <w:szCs w:val="24"/>
              </w:rPr>
            </w:pPr>
            <w:r w:rsidRPr="00CD572A">
              <w:rPr>
                <w:szCs w:val="24"/>
              </w:rPr>
              <w:t xml:space="preserve">KS1 reading outcomes in 2024/2025 show that </w:t>
            </w:r>
            <w:r w:rsidR="00CD572A" w:rsidRPr="00CD572A">
              <w:rPr>
                <w:szCs w:val="24"/>
              </w:rPr>
              <w:t>60</w:t>
            </w:r>
            <w:r w:rsidRPr="00CD572A">
              <w:rPr>
                <w:szCs w:val="24"/>
              </w:rPr>
              <w:t>% achieved the expected standard.</w:t>
            </w:r>
          </w:p>
          <w:p w14:paraId="7ED9DF4E" w14:textId="080280CA" w:rsidR="007C0DFD" w:rsidRPr="00CD572A" w:rsidRDefault="007C0DFD" w:rsidP="007C0DFD">
            <w:pPr>
              <w:pStyle w:val="TableRowCentered"/>
              <w:numPr>
                <w:ilvl w:val="0"/>
                <w:numId w:val="14"/>
              </w:numPr>
              <w:jc w:val="left"/>
              <w:rPr>
                <w:szCs w:val="24"/>
              </w:rPr>
            </w:pPr>
            <w:r w:rsidRPr="00CD572A">
              <w:rPr>
                <w:szCs w:val="24"/>
              </w:rPr>
              <w:t xml:space="preserve">KS2 reading outcomes in 2024/2025 show that </w:t>
            </w:r>
            <w:r w:rsidR="00CD572A" w:rsidRPr="00CD572A">
              <w:rPr>
                <w:szCs w:val="24"/>
              </w:rPr>
              <w:t>65</w:t>
            </w:r>
            <w:r w:rsidRPr="00CD572A">
              <w:rPr>
                <w:szCs w:val="24"/>
              </w:rPr>
              <w:t>% achieved the expected standard.</w:t>
            </w:r>
          </w:p>
          <w:p w14:paraId="2A7D5505" w14:textId="27BE7EF1" w:rsidR="007C0DFD" w:rsidRDefault="007C0DFD" w:rsidP="007C0DFD">
            <w:pPr>
              <w:pStyle w:val="TableRowCentered"/>
              <w:ind w:left="777"/>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3866661" w:rsidR="00E66558" w:rsidRPr="00466082" w:rsidRDefault="00820689">
            <w:pPr>
              <w:pStyle w:val="TableRow"/>
              <w:rPr>
                <w:b/>
                <w:bCs/>
                <w:sz w:val="22"/>
                <w:szCs w:val="22"/>
              </w:rPr>
            </w:pPr>
            <w:r w:rsidRPr="00466082">
              <w:rPr>
                <w:b/>
                <w:bCs/>
                <w:sz w:val="22"/>
                <w:szCs w:val="22"/>
              </w:rPr>
              <w:t>Improved maths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07590" w14:textId="77777777" w:rsidR="00E66558" w:rsidRPr="00773FF0" w:rsidRDefault="00605C3C" w:rsidP="00605C3C">
            <w:pPr>
              <w:pStyle w:val="TableRowCentered"/>
              <w:numPr>
                <w:ilvl w:val="0"/>
                <w:numId w:val="15"/>
              </w:numPr>
              <w:jc w:val="left"/>
              <w:rPr>
                <w:i/>
                <w:iCs/>
                <w:szCs w:val="24"/>
              </w:rPr>
            </w:pPr>
            <w:r w:rsidRPr="00773FF0">
              <w:rPr>
                <w:i/>
                <w:iCs/>
                <w:szCs w:val="24"/>
              </w:rPr>
              <w:t xml:space="preserve">White Rose Maths </w:t>
            </w:r>
            <w:r w:rsidRPr="00773FF0">
              <w:rPr>
                <w:szCs w:val="24"/>
              </w:rPr>
              <w:t>scheme established and embedded across KS1 and KS2.</w:t>
            </w:r>
          </w:p>
          <w:p w14:paraId="376555BB" w14:textId="49521B87" w:rsidR="00605C3C" w:rsidRPr="00CD572A" w:rsidRDefault="00605C3C" w:rsidP="00605C3C">
            <w:pPr>
              <w:pStyle w:val="TableRowCentered"/>
              <w:numPr>
                <w:ilvl w:val="0"/>
                <w:numId w:val="15"/>
              </w:numPr>
              <w:jc w:val="left"/>
              <w:rPr>
                <w:szCs w:val="24"/>
              </w:rPr>
            </w:pPr>
            <w:r w:rsidRPr="00CD572A">
              <w:rPr>
                <w:szCs w:val="24"/>
              </w:rPr>
              <w:t xml:space="preserve">KS1 maths outcomes in 2024/2025 show that </w:t>
            </w:r>
            <w:r w:rsidR="00CD572A" w:rsidRPr="00CD572A">
              <w:rPr>
                <w:szCs w:val="24"/>
              </w:rPr>
              <w:t>65</w:t>
            </w:r>
            <w:r w:rsidRPr="00CD572A">
              <w:rPr>
                <w:szCs w:val="24"/>
              </w:rPr>
              <w:t>% achieved the expected standard.</w:t>
            </w:r>
          </w:p>
          <w:p w14:paraId="4596BDC7" w14:textId="1B5F504C" w:rsidR="00605C3C" w:rsidRPr="00CD572A" w:rsidRDefault="00605C3C" w:rsidP="00605C3C">
            <w:pPr>
              <w:pStyle w:val="TableRowCentered"/>
              <w:numPr>
                <w:ilvl w:val="0"/>
                <w:numId w:val="15"/>
              </w:numPr>
              <w:jc w:val="left"/>
              <w:rPr>
                <w:szCs w:val="24"/>
              </w:rPr>
            </w:pPr>
            <w:r w:rsidRPr="00CD572A">
              <w:rPr>
                <w:szCs w:val="24"/>
              </w:rPr>
              <w:t xml:space="preserve">KS2 maths outcomes in 2024/2025 show that </w:t>
            </w:r>
            <w:r w:rsidR="00CD572A" w:rsidRPr="00CD572A">
              <w:rPr>
                <w:szCs w:val="24"/>
              </w:rPr>
              <w:t>70</w:t>
            </w:r>
            <w:r w:rsidRPr="00CD572A">
              <w:rPr>
                <w:szCs w:val="24"/>
              </w:rPr>
              <w:t>% achieved the expected standard.</w:t>
            </w:r>
          </w:p>
          <w:p w14:paraId="2A7D5508" w14:textId="63AECB77" w:rsidR="00605C3C" w:rsidRPr="00605C3C" w:rsidRDefault="00605C3C" w:rsidP="00605C3C">
            <w:pPr>
              <w:pStyle w:val="TableRowCentered"/>
              <w:ind w:left="777"/>
              <w:jc w:val="left"/>
              <w:rPr>
                <w:i/>
                <w:iCs/>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9C5439F" w:rsidR="00E66558" w:rsidRPr="00466082" w:rsidRDefault="00820689">
            <w:pPr>
              <w:pStyle w:val="TableRow"/>
              <w:rPr>
                <w:b/>
                <w:bCs/>
                <w:sz w:val="22"/>
                <w:szCs w:val="22"/>
              </w:rPr>
            </w:pPr>
            <w:r w:rsidRPr="00466082">
              <w:rPr>
                <w:b/>
                <w:bCs/>
                <w:sz w:val="22"/>
                <w:szCs w:val="22"/>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F2B2" w14:textId="77777777" w:rsidR="00D37B25" w:rsidRDefault="00D37B25" w:rsidP="00D37B25">
            <w:pPr>
              <w:spacing w:before="60" w:after="60" w:line="240" w:lineRule="auto"/>
              <w:ind w:left="57" w:right="57"/>
              <w:rPr>
                <w:rFonts w:cs="Arial"/>
                <w:color w:val="auto"/>
              </w:rPr>
            </w:pPr>
            <w:r>
              <w:rPr>
                <w:rFonts w:cs="Arial"/>
                <w:color w:val="auto"/>
              </w:rPr>
              <w:t>Sustained high attendance by 2024/25 demonstrated by:</w:t>
            </w:r>
          </w:p>
          <w:p w14:paraId="504667F6" w14:textId="3E6C0076" w:rsidR="00D37B25" w:rsidRPr="005E6233" w:rsidRDefault="00D37B25" w:rsidP="00D37B25">
            <w:pPr>
              <w:pStyle w:val="ListParagraph"/>
              <w:numPr>
                <w:ilvl w:val="0"/>
                <w:numId w:val="16"/>
              </w:numPr>
              <w:spacing w:before="60" w:after="60" w:line="240" w:lineRule="auto"/>
              <w:ind w:right="57"/>
              <w:rPr>
                <w:rFonts w:cs="Arial"/>
                <w:color w:val="auto"/>
              </w:rPr>
            </w:pPr>
            <w:r w:rsidRPr="005E6233">
              <w:rPr>
                <w:rFonts w:cs="Arial"/>
                <w:color w:val="auto"/>
              </w:rPr>
              <w:lastRenderedPageBreak/>
              <w:t xml:space="preserve">the overall </w:t>
            </w:r>
            <w:r w:rsidR="005E6233" w:rsidRPr="005E6233">
              <w:rPr>
                <w:rFonts w:cs="Arial"/>
                <w:color w:val="auto"/>
              </w:rPr>
              <w:t xml:space="preserve">percentage of disadvantaged pupils yearly attendance is no more than 2% lower than the National Average </w:t>
            </w:r>
          </w:p>
          <w:p w14:paraId="2A7D550B" w14:textId="7379E9C9" w:rsidR="00E66558" w:rsidRPr="00D37B25" w:rsidRDefault="00D37B25" w:rsidP="00D37B25">
            <w:pPr>
              <w:pStyle w:val="ListParagraph"/>
              <w:numPr>
                <w:ilvl w:val="0"/>
                <w:numId w:val="16"/>
              </w:numPr>
              <w:spacing w:before="60" w:after="60" w:line="240" w:lineRule="auto"/>
              <w:ind w:right="57"/>
              <w:rPr>
                <w:rFonts w:cs="Arial"/>
                <w:color w:val="auto"/>
              </w:rPr>
            </w:pPr>
            <w:r w:rsidRPr="005E6233">
              <w:rPr>
                <w:rFonts w:cs="Arial"/>
                <w:color w:val="auto"/>
              </w:rPr>
              <w:t xml:space="preserve">the percentage of all pupils who are persistently absent </w:t>
            </w:r>
            <w:r w:rsidR="005E6233" w:rsidRPr="005E6233">
              <w:rPr>
                <w:rFonts w:cs="Arial"/>
                <w:color w:val="auto"/>
              </w:rPr>
              <w:t>is in line with the Nation average</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FCFDBD2" w:rsidR="00E66558" w:rsidRPr="00466082" w:rsidRDefault="003E72BC">
            <w:pPr>
              <w:pStyle w:val="TableRow"/>
              <w:rPr>
                <w:b/>
                <w:bCs/>
                <w:sz w:val="22"/>
                <w:szCs w:val="22"/>
              </w:rPr>
            </w:pPr>
            <w:r w:rsidRPr="00466082">
              <w:rPr>
                <w:b/>
                <w:bCs/>
                <w:sz w:val="22"/>
                <w:szCs w:val="22"/>
              </w:rPr>
              <w:lastRenderedPageBreak/>
              <w:t>To ensure the mental health and well being of our families and ensure children are ready and prepared to learn.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C67F3" w14:textId="65B85E32" w:rsidR="00D37B25" w:rsidRPr="00773FF0" w:rsidRDefault="00D37B25" w:rsidP="00D37B25">
            <w:pPr>
              <w:suppressAutoHyphens w:val="0"/>
              <w:spacing w:before="60" w:after="60" w:line="240" w:lineRule="auto"/>
              <w:ind w:left="34" w:right="57"/>
              <w:rPr>
                <w:rFonts w:cs="Arial"/>
                <w:color w:val="auto"/>
              </w:rPr>
            </w:pPr>
            <w:r w:rsidRPr="00773FF0">
              <w:rPr>
                <w:rFonts w:cs="Arial"/>
                <w:color w:val="auto"/>
              </w:rPr>
              <w:t>Sustained high levels of wellbeing by 2024/ 2025 demonstrated by:</w:t>
            </w:r>
          </w:p>
          <w:p w14:paraId="3EEC7E1D" w14:textId="6D028C03" w:rsidR="00D37B25" w:rsidRPr="00773FF0" w:rsidRDefault="00D37B25" w:rsidP="00D37B25">
            <w:pPr>
              <w:pStyle w:val="ListParagraph"/>
              <w:numPr>
                <w:ilvl w:val="0"/>
                <w:numId w:val="17"/>
              </w:numPr>
              <w:suppressAutoHyphens w:val="0"/>
              <w:spacing w:before="60" w:after="120" w:line="240" w:lineRule="auto"/>
              <w:ind w:right="57" w:hanging="357"/>
              <w:rPr>
                <w:rFonts w:cs="Arial"/>
                <w:color w:val="auto"/>
              </w:rPr>
            </w:pPr>
            <w:r w:rsidRPr="00773FF0">
              <w:rPr>
                <w:rFonts w:cs="Arial"/>
                <w:color w:val="auto"/>
              </w:rPr>
              <w:t>qualitative data from student voice, student surveys and teacher observations</w:t>
            </w:r>
          </w:p>
          <w:p w14:paraId="2A7D550E" w14:textId="11AEF827" w:rsidR="00E66558" w:rsidRPr="00773FF0" w:rsidRDefault="00D37B25" w:rsidP="00D37B25">
            <w:pPr>
              <w:pStyle w:val="ListParagraph"/>
              <w:numPr>
                <w:ilvl w:val="0"/>
                <w:numId w:val="17"/>
              </w:numPr>
              <w:suppressAutoHyphens w:val="0"/>
              <w:spacing w:before="60" w:after="120" w:line="240" w:lineRule="auto"/>
              <w:ind w:right="57" w:hanging="357"/>
              <w:rPr>
                <w:rFonts w:cs="Arial"/>
                <w:color w:val="auto"/>
              </w:rPr>
            </w:pPr>
            <w:r w:rsidRPr="00773FF0">
              <w:rPr>
                <w:rFonts w:cs="Arial"/>
                <w:color w:val="auto"/>
              </w:rPr>
              <w:t xml:space="preserve">a significant increase in participation in enrichment activities, particularly among disadvantaged pupils.     </w:t>
            </w:r>
          </w:p>
        </w:tc>
      </w:tr>
      <w:tr w:rsidR="00F8651B" w14:paraId="3B88460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87C33" w14:textId="3745FC43" w:rsidR="00F8651B" w:rsidRPr="00857982" w:rsidRDefault="00F8651B">
            <w:pPr>
              <w:pStyle w:val="TableRow"/>
              <w:rPr>
                <w:b/>
                <w:bCs/>
                <w:sz w:val="22"/>
                <w:szCs w:val="22"/>
              </w:rPr>
            </w:pPr>
            <w:r w:rsidRPr="00857982">
              <w:rPr>
                <w:b/>
                <w:bCs/>
                <w:sz w:val="22"/>
                <w:szCs w:val="22"/>
              </w:rPr>
              <w:t>Increased engagement of all parents in school life at Guildford Grove but particularly our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4A3D" w14:textId="54B0AC12" w:rsidR="00F8651B" w:rsidRPr="00773FF0" w:rsidRDefault="00DD63E4" w:rsidP="008F32BA">
            <w:pPr>
              <w:pStyle w:val="TableRowCentered"/>
              <w:numPr>
                <w:ilvl w:val="0"/>
                <w:numId w:val="18"/>
              </w:numPr>
              <w:jc w:val="left"/>
              <w:rPr>
                <w:szCs w:val="24"/>
              </w:rPr>
            </w:pPr>
            <w:r w:rsidRPr="00773FF0">
              <w:rPr>
                <w:szCs w:val="24"/>
              </w:rPr>
              <w:t>Increase</w:t>
            </w:r>
            <w:r w:rsidR="008F32BA" w:rsidRPr="00773FF0">
              <w:rPr>
                <w:szCs w:val="24"/>
              </w:rPr>
              <w:t xml:space="preserve"> of pupils</w:t>
            </w:r>
            <w:r w:rsidRPr="00773FF0">
              <w:rPr>
                <w:szCs w:val="24"/>
              </w:rPr>
              <w:t xml:space="preserve"> arriving</w:t>
            </w:r>
            <w:r w:rsidR="008F32BA" w:rsidRPr="00773FF0">
              <w:rPr>
                <w:szCs w:val="24"/>
              </w:rPr>
              <w:t xml:space="preserve"> to school</w:t>
            </w:r>
            <w:r w:rsidRPr="00773FF0">
              <w:rPr>
                <w:szCs w:val="24"/>
              </w:rPr>
              <w:t xml:space="preserve"> on time.</w:t>
            </w:r>
          </w:p>
          <w:p w14:paraId="7622E72E" w14:textId="77777777" w:rsidR="008F32BA" w:rsidRPr="00773FF0" w:rsidRDefault="008F32BA" w:rsidP="008F32BA">
            <w:pPr>
              <w:pStyle w:val="TableRowCentered"/>
              <w:numPr>
                <w:ilvl w:val="0"/>
                <w:numId w:val="18"/>
              </w:numPr>
              <w:jc w:val="left"/>
              <w:rPr>
                <w:szCs w:val="24"/>
              </w:rPr>
            </w:pPr>
            <w:r w:rsidRPr="00773FF0">
              <w:rPr>
                <w:szCs w:val="24"/>
              </w:rPr>
              <w:t>Increase in proportion of parents attending parents consultations</w:t>
            </w:r>
          </w:p>
          <w:p w14:paraId="6581B1A0" w14:textId="2B7E77EA" w:rsidR="008F32BA" w:rsidRPr="00773FF0" w:rsidRDefault="008F32BA" w:rsidP="008F32BA">
            <w:pPr>
              <w:pStyle w:val="TableRowCentered"/>
              <w:numPr>
                <w:ilvl w:val="0"/>
                <w:numId w:val="18"/>
              </w:numPr>
              <w:jc w:val="left"/>
              <w:rPr>
                <w:szCs w:val="24"/>
              </w:rPr>
            </w:pPr>
            <w:r w:rsidRPr="00773FF0">
              <w:rPr>
                <w:szCs w:val="24"/>
              </w:rPr>
              <w:t>Increase in proportion attending workshops and productions</w:t>
            </w:r>
          </w:p>
        </w:tc>
      </w:tr>
      <w:tr w:rsidR="00F8651B" w14:paraId="2A8C7EE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49CCA" w14:textId="34AF74D5" w:rsidR="00F8651B" w:rsidRPr="00857982" w:rsidRDefault="00F8651B">
            <w:pPr>
              <w:pStyle w:val="TableRow"/>
              <w:rPr>
                <w:b/>
                <w:bCs/>
                <w:sz w:val="22"/>
                <w:szCs w:val="22"/>
              </w:rPr>
            </w:pPr>
            <w:r w:rsidRPr="00857982">
              <w:rPr>
                <w:b/>
                <w:bCs/>
                <w:sz w:val="22"/>
                <w:szCs w:val="22"/>
              </w:rPr>
              <w:t>Improved oral and language skills and vocabulary for all children,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B4515" w14:textId="77777777" w:rsidR="00F8651B" w:rsidRPr="00773FF0" w:rsidRDefault="008B1560">
            <w:pPr>
              <w:pStyle w:val="TableRowCentered"/>
              <w:jc w:val="left"/>
              <w:rPr>
                <w:color w:val="auto"/>
                <w:szCs w:val="24"/>
              </w:rPr>
            </w:pPr>
            <w:r w:rsidRPr="00773FF0">
              <w:rPr>
                <w:rFonts w:cs="Arial"/>
                <w:color w:val="auto"/>
                <w:szCs w:val="24"/>
              </w:rPr>
              <w:t xml:space="preserve">Assessments and observations indicate significantly improved oral language among disadvantaged pupils. </w:t>
            </w:r>
            <w:r w:rsidRPr="00773FF0">
              <w:rPr>
                <w:color w:val="auto"/>
                <w:szCs w:val="24"/>
              </w:rPr>
              <w:t>This is evident when triangulated with other sources of evidence, including engagement in lessons, book scrutiny and ongoing formative assessment.</w:t>
            </w:r>
          </w:p>
          <w:p w14:paraId="6E9218FB" w14:textId="3C9CA451" w:rsidR="008B1560" w:rsidRDefault="00576E08">
            <w:pPr>
              <w:pStyle w:val="TableRowCentered"/>
              <w:jc w:val="left"/>
              <w:rPr>
                <w:szCs w:val="24"/>
              </w:rPr>
            </w:pPr>
            <w:r>
              <w:rPr>
                <w:szCs w:val="24"/>
              </w:rPr>
              <w:t>This will be especially evident in the EYFS through a sustained focus on high quality interactions (SHREC approach)</w:t>
            </w:r>
            <w:r w:rsidR="0026350D">
              <w:rPr>
                <w:szCs w:val="24"/>
              </w:rPr>
              <w:t>. In addition, this will be further supported by a partnership with Early Excellence to create a bespoke curriculum for pupils</w:t>
            </w:r>
          </w:p>
          <w:p w14:paraId="39AFDBB5" w14:textId="6DF93195" w:rsidR="00576E08" w:rsidRPr="00773FF0" w:rsidRDefault="00576E08">
            <w:pPr>
              <w:pStyle w:val="TableRowCentered"/>
              <w:jc w:val="left"/>
              <w:rPr>
                <w:szCs w:val="24"/>
              </w:rPr>
            </w:pPr>
          </w:p>
        </w:tc>
      </w:tr>
    </w:tbl>
    <w:p w14:paraId="2A7D5512" w14:textId="35B1D3FA" w:rsidR="00E66558" w:rsidRDefault="009D71E8">
      <w:pPr>
        <w:pStyle w:val="Heading2"/>
      </w:pPr>
      <w:r>
        <w:t>Activity in this academic year</w:t>
      </w:r>
      <w:r w:rsidR="00466082">
        <w:t xml:space="preserve"> 2022-2023</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4A0F7576" w14:textId="77777777" w:rsidR="00702E96" w:rsidRDefault="00702E96" w:rsidP="00702E96">
      <w:r w:rsidRPr="00B114DC">
        <w:t>Budgeted cost: £43,352</w:t>
      </w:r>
    </w:p>
    <w:tbl>
      <w:tblPr>
        <w:tblW w:w="5000" w:type="pct"/>
        <w:tblCellMar>
          <w:left w:w="10" w:type="dxa"/>
          <w:right w:w="10" w:type="dxa"/>
        </w:tblCellMar>
        <w:tblLook w:val="04A0" w:firstRow="1" w:lastRow="0" w:firstColumn="1" w:lastColumn="0" w:noHBand="0" w:noVBand="1"/>
      </w:tblPr>
      <w:tblGrid>
        <w:gridCol w:w="1712"/>
        <w:gridCol w:w="6243"/>
        <w:gridCol w:w="1531"/>
      </w:tblGrid>
      <w:tr w:rsidR="00466082" w14:paraId="2A7D5519" w14:textId="77777777" w:rsidTr="00B865BA">
        <w:tc>
          <w:tcPr>
            <w:tcW w:w="17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lastRenderedPageBreak/>
              <w:t>Activity</w:t>
            </w:r>
          </w:p>
        </w:tc>
        <w:tc>
          <w:tcPr>
            <w:tcW w:w="62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466082" w14:paraId="2A7D551D" w14:textId="77777777" w:rsidTr="00B865BA">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ACD10DA" w:rsidR="00E66558" w:rsidRPr="00A1038C" w:rsidRDefault="008F32BA">
            <w:pPr>
              <w:pStyle w:val="TableRow"/>
              <w:rPr>
                <w:b/>
                <w:bCs/>
              </w:rPr>
            </w:pPr>
            <w:r w:rsidRPr="00A1038C">
              <w:rPr>
                <w:b/>
                <w:bCs/>
                <w:iCs/>
                <w:sz w:val="22"/>
              </w:rPr>
              <w:t xml:space="preserve">Purchase, training and resourcing of </w:t>
            </w:r>
            <w:r w:rsidRPr="00A1038C">
              <w:rPr>
                <w:b/>
                <w:bCs/>
                <w:i/>
                <w:sz w:val="22"/>
              </w:rPr>
              <w:t xml:space="preserve">Little Wandle </w:t>
            </w:r>
            <w:r w:rsidRPr="00A1038C">
              <w:rPr>
                <w:b/>
                <w:bCs/>
                <w:iCs/>
                <w:sz w:val="22"/>
              </w:rPr>
              <w:t>phonics scheme.</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BE126" w14:textId="489183E7" w:rsidR="00DD63E4" w:rsidRDefault="00DD63E4" w:rsidP="008F32BA">
            <w:pPr>
              <w:pStyle w:val="TableRowCentered"/>
              <w:jc w:val="left"/>
              <w:rPr>
                <w:rFonts w:cs="Arial"/>
                <w:color w:val="auto"/>
                <w:szCs w:val="24"/>
              </w:rPr>
            </w:pPr>
            <w:r w:rsidRPr="00A1038C">
              <w:rPr>
                <w:rFonts w:cs="Arial"/>
                <w:b/>
                <w:bCs/>
                <w:color w:val="auto"/>
                <w:szCs w:val="24"/>
              </w:rPr>
              <w:t>Aim</w:t>
            </w:r>
            <w:r>
              <w:rPr>
                <w:rFonts w:cs="Arial"/>
                <w:color w:val="auto"/>
                <w:szCs w:val="24"/>
              </w:rPr>
              <w:t>- Through the use of Little Wandle SSP</w:t>
            </w:r>
            <w:r w:rsidR="00A1038C">
              <w:rPr>
                <w:rFonts w:cs="Arial"/>
                <w:color w:val="auto"/>
                <w:szCs w:val="24"/>
              </w:rPr>
              <w:t>, children will develop a secure phonic knowledge in a progressive, explicit and consistent way. They will read phonically decodable books that match the phase they are working on. Regular assessment allows progress to be closely monitored and keep- up sessions are provided as appropriate.</w:t>
            </w:r>
          </w:p>
          <w:p w14:paraId="2C841C48" w14:textId="77777777" w:rsidR="00DD63E4" w:rsidRPr="00A1038C" w:rsidRDefault="00DD63E4" w:rsidP="008F32BA">
            <w:pPr>
              <w:pStyle w:val="TableRowCentered"/>
              <w:jc w:val="left"/>
              <w:rPr>
                <w:rFonts w:cs="Arial"/>
                <w:b/>
                <w:bCs/>
                <w:color w:val="auto"/>
                <w:szCs w:val="24"/>
              </w:rPr>
            </w:pPr>
          </w:p>
          <w:p w14:paraId="73A742F5" w14:textId="3A83B879" w:rsidR="008F32BA" w:rsidRDefault="00DD63E4" w:rsidP="008F32BA">
            <w:pPr>
              <w:pStyle w:val="TableRowCentered"/>
              <w:jc w:val="left"/>
              <w:rPr>
                <w:rFonts w:cs="Arial"/>
                <w:color w:val="auto"/>
                <w:szCs w:val="24"/>
              </w:rPr>
            </w:pPr>
            <w:r w:rsidRPr="00A1038C">
              <w:rPr>
                <w:rFonts w:cs="Arial"/>
                <w:b/>
                <w:bCs/>
                <w:color w:val="auto"/>
                <w:szCs w:val="24"/>
              </w:rPr>
              <w:t>Evidence-</w:t>
            </w:r>
            <w:r>
              <w:rPr>
                <w:rFonts w:cs="Arial"/>
                <w:color w:val="auto"/>
                <w:szCs w:val="24"/>
              </w:rPr>
              <w:t xml:space="preserve"> </w:t>
            </w:r>
            <w:r w:rsidR="008F32BA">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13766DF7" w14:textId="77777777" w:rsidR="00E66558" w:rsidRDefault="00702E96" w:rsidP="008F32BA">
            <w:pPr>
              <w:pStyle w:val="TableRowCentered"/>
              <w:jc w:val="left"/>
            </w:pPr>
            <w:hyperlink r:id="rId8" w:history="1">
              <w:r w:rsidR="008F32BA">
                <w:rPr>
                  <w:rStyle w:val="Hyperlink"/>
                  <w:color w:val="0070C0"/>
                </w:rPr>
                <w:t>Phonics | Toolkit Strand | Education Endowment Foundation | EEF</w:t>
              </w:r>
            </w:hyperlink>
          </w:p>
          <w:p w14:paraId="2A7D551B" w14:textId="575FDB8C" w:rsidR="00A1038C" w:rsidRDefault="00A1038C" w:rsidP="008F32BA">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2E0DAB3" w:rsidR="00E66558" w:rsidRPr="00A1038C" w:rsidRDefault="008F32BA">
            <w:pPr>
              <w:pStyle w:val="TableRowCentered"/>
              <w:jc w:val="left"/>
              <w:rPr>
                <w:b/>
                <w:bCs/>
                <w:sz w:val="22"/>
              </w:rPr>
            </w:pPr>
            <w:r w:rsidRPr="00A1038C">
              <w:rPr>
                <w:b/>
                <w:bCs/>
                <w:sz w:val="22"/>
              </w:rPr>
              <w:t>1, 2, 3</w:t>
            </w:r>
          </w:p>
        </w:tc>
      </w:tr>
      <w:tr w:rsidR="00466082" w14:paraId="2A7D5521" w14:textId="77777777" w:rsidTr="00B865BA">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E9ACE11" w:rsidR="00E66558" w:rsidRPr="00A1038C" w:rsidRDefault="00AA6922">
            <w:pPr>
              <w:pStyle w:val="TableRow"/>
              <w:rPr>
                <w:b/>
                <w:bCs/>
                <w:iCs/>
                <w:sz w:val="22"/>
              </w:rPr>
            </w:pPr>
            <w:r w:rsidRPr="00A1038C">
              <w:rPr>
                <w:b/>
                <w:bCs/>
                <w:iCs/>
                <w:sz w:val="22"/>
              </w:rPr>
              <w:t xml:space="preserve">Purchase, training and resourcing of </w:t>
            </w:r>
            <w:r w:rsidRPr="00A1038C">
              <w:rPr>
                <w:b/>
                <w:bCs/>
                <w:i/>
                <w:sz w:val="22"/>
              </w:rPr>
              <w:t xml:space="preserve">White Rose </w:t>
            </w:r>
            <w:r w:rsidRPr="00A1038C">
              <w:rPr>
                <w:b/>
                <w:bCs/>
                <w:iCs/>
                <w:sz w:val="22"/>
              </w:rPr>
              <w:t>maths scheme</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FA66F" w14:textId="7D0705A5" w:rsidR="00A1038C" w:rsidRPr="00A1038C" w:rsidRDefault="00A1038C" w:rsidP="00AA6922">
            <w:pPr>
              <w:spacing w:before="60" w:after="60" w:line="240" w:lineRule="auto"/>
              <w:ind w:left="57" w:right="57"/>
              <w:rPr>
                <w:rFonts w:cs="Arial"/>
                <w:iCs/>
                <w:color w:val="auto"/>
              </w:rPr>
            </w:pPr>
            <w:r>
              <w:rPr>
                <w:rFonts w:cs="Arial"/>
                <w:b/>
                <w:bCs/>
                <w:iCs/>
                <w:color w:val="auto"/>
              </w:rPr>
              <w:t xml:space="preserve">Aim- </w:t>
            </w:r>
            <w:r>
              <w:rPr>
                <w:rFonts w:cs="Arial"/>
                <w:iCs/>
                <w:color w:val="auto"/>
              </w:rPr>
              <w:t>White Rose maths scheme provides a clearly structured, progressive and consistent scheme with which to teach maths. Children complete end of unit  and termly assessments to track progress.</w:t>
            </w:r>
          </w:p>
          <w:p w14:paraId="4A0BFA63" w14:textId="77777777" w:rsidR="00A1038C" w:rsidRDefault="00A1038C" w:rsidP="00AA6922">
            <w:pPr>
              <w:spacing w:before="60" w:after="60" w:line="240" w:lineRule="auto"/>
              <w:ind w:left="57" w:right="57"/>
              <w:rPr>
                <w:rFonts w:cs="Arial"/>
                <w:b/>
                <w:bCs/>
                <w:iCs/>
                <w:color w:val="auto"/>
              </w:rPr>
            </w:pPr>
          </w:p>
          <w:p w14:paraId="6F77FCFF" w14:textId="09C0F1E1" w:rsidR="00AA6922" w:rsidRDefault="00A1038C" w:rsidP="00AA6922">
            <w:pPr>
              <w:spacing w:before="60" w:after="60" w:line="240" w:lineRule="auto"/>
              <w:ind w:left="57" w:right="57"/>
              <w:rPr>
                <w:rFonts w:cs="Arial"/>
                <w:iCs/>
                <w:color w:val="auto"/>
              </w:rPr>
            </w:pPr>
            <w:r w:rsidRPr="00A1038C">
              <w:rPr>
                <w:rFonts w:cs="Arial"/>
                <w:b/>
                <w:bCs/>
                <w:iCs/>
                <w:color w:val="auto"/>
              </w:rPr>
              <w:t>Evidence</w:t>
            </w:r>
            <w:r>
              <w:rPr>
                <w:rFonts w:cs="Arial"/>
                <w:iCs/>
                <w:color w:val="auto"/>
              </w:rPr>
              <w:t>-</w:t>
            </w:r>
            <w:r w:rsidR="00AA6922">
              <w:rPr>
                <w:rFonts w:cs="Arial"/>
                <w:iCs/>
                <w:color w:val="auto"/>
              </w:rPr>
              <w:t xml:space="preserve">The DfE non-statutory guidance has been produced in conjunction with the National Centre for Excellence in the Teaching of Mathematics, drawing on evidence-based approaches: </w:t>
            </w:r>
          </w:p>
          <w:p w14:paraId="6931A3E4" w14:textId="77777777" w:rsidR="00AA6922" w:rsidRDefault="00702E96" w:rsidP="00AA6922">
            <w:pPr>
              <w:spacing w:before="60" w:after="120" w:line="240" w:lineRule="auto"/>
              <w:ind w:left="57" w:right="57"/>
              <w:rPr>
                <w:rFonts w:cs="Arial"/>
                <w:iCs/>
                <w:color w:val="0070C0"/>
              </w:rPr>
            </w:pPr>
            <w:hyperlink r:id="rId9" w:history="1">
              <w:r w:rsidR="00AA6922">
                <w:rPr>
                  <w:rStyle w:val="Hyperlink"/>
                  <w:color w:val="0070C0"/>
                </w:rPr>
                <w:t>Maths_guidance_KS_1_and_2.pdf (publishing.service.gov.uk)</w:t>
              </w:r>
            </w:hyperlink>
          </w:p>
          <w:p w14:paraId="30695957" w14:textId="77777777" w:rsidR="00AA6922" w:rsidRDefault="00AA6922" w:rsidP="00AA6922">
            <w:pPr>
              <w:spacing w:before="120" w:after="60" w:line="240" w:lineRule="auto"/>
              <w:ind w:left="57" w:right="57"/>
              <w:rPr>
                <w:rFonts w:cs="Arial"/>
                <w:color w:val="auto"/>
              </w:rPr>
            </w:pPr>
            <w:r>
              <w:rPr>
                <w:rFonts w:cs="Arial"/>
                <w:color w:val="auto"/>
              </w:rPr>
              <w:t xml:space="preserve">The EEF guidance is based on a range of the best available evidence: </w:t>
            </w:r>
          </w:p>
          <w:p w14:paraId="1C6FCA94" w14:textId="77777777" w:rsidR="00E66558" w:rsidRDefault="00702E96" w:rsidP="00AA6922">
            <w:pPr>
              <w:pStyle w:val="TableRowCentered"/>
              <w:jc w:val="left"/>
            </w:pPr>
            <w:hyperlink r:id="rId10" w:history="1">
              <w:r w:rsidR="00AA6922">
                <w:rPr>
                  <w:rStyle w:val="Hyperlink"/>
                  <w:color w:val="0070C0"/>
                </w:rPr>
                <w:t>Improving Mathematics in Key Stages 2 and 3</w:t>
              </w:r>
            </w:hyperlink>
          </w:p>
          <w:p w14:paraId="2A7D551F" w14:textId="68764632" w:rsidR="00C51B8C" w:rsidRDefault="00C51B8C" w:rsidP="00AA6922">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7FFDEF9" w:rsidR="00E66558" w:rsidRPr="00371E96" w:rsidRDefault="00AA6922">
            <w:pPr>
              <w:pStyle w:val="TableRowCentered"/>
              <w:jc w:val="left"/>
              <w:rPr>
                <w:b/>
                <w:bCs/>
                <w:sz w:val="22"/>
              </w:rPr>
            </w:pPr>
            <w:r w:rsidRPr="00371E96">
              <w:rPr>
                <w:b/>
                <w:bCs/>
                <w:sz w:val="22"/>
              </w:rPr>
              <w:t>1, 2, 3</w:t>
            </w:r>
          </w:p>
        </w:tc>
      </w:tr>
      <w:tr w:rsidR="00466082" w14:paraId="3971EECC" w14:textId="77777777" w:rsidTr="00B865BA">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ABBD" w14:textId="2FEAE1DF" w:rsidR="00C51B8C" w:rsidRPr="004D42B5" w:rsidRDefault="00C51B8C">
            <w:pPr>
              <w:pStyle w:val="TableRow"/>
              <w:rPr>
                <w:b/>
                <w:bCs/>
                <w:iCs/>
                <w:sz w:val="22"/>
              </w:rPr>
            </w:pPr>
            <w:r w:rsidRPr="004D42B5">
              <w:rPr>
                <w:b/>
                <w:bCs/>
                <w:iCs/>
                <w:sz w:val="22"/>
              </w:rPr>
              <w:t>H</w:t>
            </w:r>
            <w:r w:rsidR="00371E96" w:rsidRPr="004D42B5">
              <w:rPr>
                <w:b/>
                <w:bCs/>
                <w:iCs/>
                <w:sz w:val="22"/>
              </w:rPr>
              <w:t xml:space="preserve">erts </w:t>
            </w:r>
            <w:r w:rsidRPr="004D42B5">
              <w:rPr>
                <w:b/>
                <w:bCs/>
                <w:iCs/>
                <w:sz w:val="22"/>
              </w:rPr>
              <w:t>F</w:t>
            </w:r>
            <w:r w:rsidR="00371E96" w:rsidRPr="004D42B5">
              <w:rPr>
                <w:b/>
                <w:bCs/>
                <w:iCs/>
                <w:sz w:val="22"/>
              </w:rPr>
              <w:t xml:space="preserve">or </w:t>
            </w:r>
            <w:r w:rsidRPr="004D42B5">
              <w:rPr>
                <w:b/>
                <w:bCs/>
                <w:iCs/>
                <w:sz w:val="22"/>
              </w:rPr>
              <w:t>L</w:t>
            </w:r>
            <w:r w:rsidR="00371E96" w:rsidRPr="004D42B5">
              <w:rPr>
                <w:b/>
                <w:bCs/>
                <w:iCs/>
                <w:sz w:val="22"/>
              </w:rPr>
              <w:t>earning</w:t>
            </w:r>
          </w:p>
          <w:p w14:paraId="3D32AE06" w14:textId="3CDADD2B" w:rsidR="00C51B8C" w:rsidRDefault="00C51B8C">
            <w:pPr>
              <w:pStyle w:val="TableRow"/>
              <w:rPr>
                <w:iCs/>
                <w:sz w:val="22"/>
              </w:rPr>
            </w:pPr>
            <w:r w:rsidRPr="004D42B5">
              <w:rPr>
                <w:b/>
                <w:bCs/>
                <w:iCs/>
                <w:sz w:val="22"/>
              </w:rPr>
              <w:t>Fluency training</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C6D3D" w14:textId="6DE7379B" w:rsidR="00371E96" w:rsidRDefault="00371E96" w:rsidP="00AA6922">
            <w:pPr>
              <w:spacing w:before="60" w:after="60" w:line="240" w:lineRule="auto"/>
              <w:ind w:left="57" w:right="57"/>
              <w:rPr>
                <w:rFonts w:cs="Arial"/>
                <w:iCs/>
                <w:color w:val="auto"/>
              </w:rPr>
            </w:pPr>
            <w:r>
              <w:rPr>
                <w:rFonts w:cs="Arial"/>
                <w:b/>
                <w:bCs/>
                <w:iCs/>
                <w:color w:val="auto"/>
              </w:rPr>
              <w:t xml:space="preserve">Aim: </w:t>
            </w:r>
            <w:r>
              <w:rPr>
                <w:rFonts w:cs="Arial"/>
                <w:iCs/>
                <w:color w:val="auto"/>
              </w:rPr>
              <w:t>To develop fluency across KS2. Literacy leads will attend training and then this will cascade to be incorporated into the ‘reading offer’ at Guildford Grove. All children to develop their reading fluency as the bridge between phonics and comprehension.</w:t>
            </w:r>
          </w:p>
          <w:p w14:paraId="5A4D19F0" w14:textId="77777777" w:rsidR="00371E96" w:rsidRPr="00371E96" w:rsidRDefault="00371E96" w:rsidP="00AA6922">
            <w:pPr>
              <w:spacing w:before="60" w:after="60" w:line="240" w:lineRule="auto"/>
              <w:ind w:left="57" w:right="57"/>
              <w:rPr>
                <w:rFonts w:cs="Arial"/>
                <w:iCs/>
                <w:color w:val="auto"/>
              </w:rPr>
            </w:pPr>
          </w:p>
          <w:p w14:paraId="5C4AF139" w14:textId="2F847FFB" w:rsidR="00C51B8C" w:rsidRDefault="00371E96" w:rsidP="00AA6922">
            <w:pPr>
              <w:spacing w:before="60" w:after="60" w:line="240" w:lineRule="auto"/>
              <w:ind w:left="57" w:right="57"/>
              <w:rPr>
                <w:rFonts w:cs="Arial"/>
                <w:iCs/>
                <w:color w:val="auto"/>
              </w:rPr>
            </w:pPr>
            <w:r w:rsidRPr="00371E96">
              <w:rPr>
                <w:rFonts w:cs="Arial"/>
                <w:b/>
                <w:bCs/>
                <w:iCs/>
                <w:color w:val="auto"/>
              </w:rPr>
              <w:t>Evidence:</w:t>
            </w:r>
            <w:r>
              <w:rPr>
                <w:rFonts w:cs="Arial"/>
                <w:iCs/>
                <w:color w:val="auto"/>
              </w:rPr>
              <w:t xml:space="preserve"> Research in this area is increasing. The EEF research shows that supporting pupils to develop fluent reading capabilities is vital to improving their reading and overall literacy. </w:t>
            </w:r>
            <w:hyperlink r:id="rId11" w:history="1">
              <w:r w:rsidR="00773FF0">
                <w:rPr>
                  <w:rStyle w:val="Hyperlink"/>
                  <w:rFonts w:cs="Arial"/>
                  <w:iCs/>
                </w:rPr>
                <w:t>EEF- Improving Literacy in KS2</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F7C4" w14:textId="3614B580" w:rsidR="00C51B8C" w:rsidRPr="004D42B5" w:rsidRDefault="00C51B8C">
            <w:pPr>
              <w:pStyle w:val="TableRowCentered"/>
              <w:jc w:val="left"/>
              <w:rPr>
                <w:b/>
                <w:bCs/>
                <w:sz w:val="22"/>
              </w:rPr>
            </w:pPr>
            <w:r w:rsidRPr="004D42B5">
              <w:rPr>
                <w:b/>
                <w:bCs/>
                <w:sz w:val="22"/>
              </w:rPr>
              <w:t>1, 2</w:t>
            </w:r>
          </w:p>
        </w:tc>
      </w:tr>
      <w:tr w:rsidR="00F53128" w14:paraId="41562ABC" w14:textId="77777777" w:rsidTr="00B865BA">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DAFE1" w14:textId="1CE93FB5" w:rsidR="007F1C82" w:rsidRPr="004D42B5" w:rsidRDefault="007F1C82">
            <w:pPr>
              <w:pStyle w:val="TableRow"/>
              <w:rPr>
                <w:b/>
                <w:bCs/>
                <w:iCs/>
              </w:rPr>
            </w:pPr>
            <w:r w:rsidRPr="004D42B5">
              <w:rPr>
                <w:b/>
                <w:bCs/>
                <w:iCs/>
              </w:rPr>
              <w:t xml:space="preserve">New curriculum, inc. </w:t>
            </w:r>
            <w:r w:rsidRPr="004D42B5">
              <w:rPr>
                <w:b/>
                <w:bCs/>
                <w:iCs/>
              </w:rPr>
              <w:lastRenderedPageBreak/>
              <w:t>bespoke PSHE curriculum</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C58D5" w14:textId="77777777" w:rsidR="007F1C82" w:rsidRDefault="00834F4A" w:rsidP="00AA6922">
            <w:pPr>
              <w:spacing w:before="60" w:after="60" w:line="240" w:lineRule="auto"/>
              <w:ind w:left="57" w:right="57"/>
              <w:rPr>
                <w:rFonts w:cs="Arial"/>
                <w:iCs/>
                <w:color w:val="auto"/>
              </w:rPr>
            </w:pPr>
            <w:r w:rsidRPr="00834F4A">
              <w:rPr>
                <w:rFonts w:cs="Arial"/>
                <w:b/>
                <w:bCs/>
                <w:iCs/>
                <w:color w:val="auto"/>
              </w:rPr>
              <w:lastRenderedPageBreak/>
              <w:t>Aim</w:t>
            </w:r>
            <w:r>
              <w:rPr>
                <w:rFonts w:cs="Arial"/>
                <w:b/>
                <w:bCs/>
                <w:iCs/>
                <w:color w:val="auto"/>
              </w:rPr>
              <w:t>-</w:t>
            </w:r>
            <w:r w:rsidR="00466082">
              <w:rPr>
                <w:rFonts w:cs="Arial"/>
                <w:b/>
                <w:bCs/>
                <w:iCs/>
                <w:color w:val="auto"/>
              </w:rPr>
              <w:t xml:space="preserve"> </w:t>
            </w:r>
            <w:r w:rsidR="00466082">
              <w:rPr>
                <w:rFonts w:cs="Arial"/>
                <w:iCs/>
                <w:color w:val="auto"/>
              </w:rPr>
              <w:t xml:space="preserve">The new curriculum at Guildford Grove will aim to provide more opportunities for pupils to focus on their </w:t>
            </w:r>
            <w:r w:rsidR="00466082">
              <w:rPr>
                <w:rFonts w:cs="Arial"/>
                <w:iCs/>
                <w:color w:val="auto"/>
              </w:rPr>
              <w:lastRenderedPageBreak/>
              <w:t>personal, social and health education to improve life chances.</w:t>
            </w:r>
          </w:p>
          <w:p w14:paraId="6EDD5C50" w14:textId="77777777" w:rsidR="00466082" w:rsidRDefault="00466082" w:rsidP="00AA6922">
            <w:pPr>
              <w:spacing w:before="60" w:after="60" w:line="240" w:lineRule="auto"/>
              <w:ind w:left="57" w:right="57"/>
              <w:rPr>
                <w:rFonts w:cs="Arial"/>
                <w:iCs/>
                <w:color w:val="auto"/>
              </w:rPr>
            </w:pPr>
          </w:p>
          <w:p w14:paraId="0331403B" w14:textId="001A46F0" w:rsidR="00466082" w:rsidRPr="00466082" w:rsidRDefault="00466082" w:rsidP="00AA6922">
            <w:pPr>
              <w:spacing w:before="60" w:after="60" w:line="240" w:lineRule="auto"/>
              <w:ind w:left="57" w:right="57"/>
              <w:rPr>
                <w:rFonts w:cs="Arial"/>
                <w:iCs/>
                <w:color w:val="auto"/>
              </w:rPr>
            </w:pPr>
            <w:r w:rsidRPr="00466082">
              <w:rPr>
                <w:rFonts w:cs="Arial"/>
                <w:b/>
                <w:bCs/>
                <w:iCs/>
                <w:color w:val="auto"/>
              </w:rPr>
              <w:t>Evidence</w:t>
            </w:r>
            <w:r>
              <w:rPr>
                <w:rFonts w:cs="Arial"/>
                <w:iCs/>
                <w:color w:val="auto"/>
              </w:rPr>
              <w:t>-</w:t>
            </w:r>
            <w:hyperlink r:id="rId12" w:history="1">
              <w:r w:rsidR="00C53577">
                <w:rPr>
                  <w:rStyle w:val="Hyperlink"/>
                  <w:rFonts w:cs="Arial"/>
                  <w:iCs/>
                </w:rPr>
                <w:t>EEF-Improving social and emotional learning in school</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9C3B8" w14:textId="7F302A8B" w:rsidR="007F1C82" w:rsidRPr="00F15D44" w:rsidRDefault="00DD63E4">
            <w:pPr>
              <w:pStyle w:val="TableRowCentered"/>
              <w:jc w:val="left"/>
              <w:rPr>
                <w:b/>
                <w:bCs/>
                <w:sz w:val="22"/>
              </w:rPr>
            </w:pPr>
            <w:r w:rsidRPr="00F15D44">
              <w:rPr>
                <w:b/>
                <w:bCs/>
                <w:sz w:val="22"/>
              </w:rPr>
              <w:lastRenderedPageBreak/>
              <w:t>1, 2</w:t>
            </w:r>
          </w:p>
        </w:tc>
      </w:tr>
      <w:tr w:rsidR="00466082" w14:paraId="37B73877" w14:textId="77777777" w:rsidTr="00B865BA">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7C7E5" w14:textId="471F383A" w:rsidR="00C51B8C" w:rsidRPr="004D42B5" w:rsidRDefault="00C51B8C">
            <w:pPr>
              <w:pStyle w:val="TableRow"/>
              <w:rPr>
                <w:b/>
                <w:bCs/>
                <w:iCs/>
              </w:rPr>
            </w:pPr>
            <w:r w:rsidRPr="004D42B5">
              <w:rPr>
                <w:b/>
                <w:bCs/>
                <w:iCs/>
              </w:rPr>
              <w:t>Feedback at the point of learning</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5CB0E" w14:textId="15949C1F" w:rsidR="00466082" w:rsidRDefault="00466082" w:rsidP="00AA6922">
            <w:pPr>
              <w:spacing w:before="60" w:after="60" w:line="240" w:lineRule="auto"/>
              <w:ind w:left="57" w:right="57"/>
              <w:rPr>
                <w:rFonts w:cs="Arial"/>
                <w:iCs/>
                <w:color w:val="auto"/>
              </w:rPr>
            </w:pPr>
            <w:r w:rsidRPr="00466082">
              <w:rPr>
                <w:rFonts w:cs="Arial"/>
                <w:b/>
                <w:bCs/>
                <w:iCs/>
                <w:color w:val="auto"/>
              </w:rPr>
              <w:t>Aim-</w:t>
            </w:r>
            <w:r>
              <w:rPr>
                <w:rFonts w:cs="Arial"/>
                <w:iCs/>
                <w:color w:val="auto"/>
              </w:rPr>
              <w:t xml:space="preserve"> All teachers to give clear feedback at the point of learning. Misconceptions and next steps can be clearly identified and fed back to the individual and incorporated into future lesson planning</w:t>
            </w:r>
          </w:p>
          <w:p w14:paraId="2814C939" w14:textId="77777777" w:rsidR="00466082" w:rsidRDefault="00466082" w:rsidP="00AA6922">
            <w:pPr>
              <w:spacing w:before="60" w:after="60" w:line="240" w:lineRule="auto"/>
              <w:ind w:left="57" w:right="57"/>
              <w:rPr>
                <w:rFonts w:cs="Arial"/>
                <w:iCs/>
                <w:color w:val="auto"/>
              </w:rPr>
            </w:pPr>
          </w:p>
          <w:p w14:paraId="1F8C6B8B" w14:textId="74F33125" w:rsidR="00C51B8C" w:rsidRDefault="00466082" w:rsidP="00AA6922">
            <w:pPr>
              <w:spacing w:before="60" w:after="60" w:line="240" w:lineRule="auto"/>
              <w:ind w:left="57" w:right="57"/>
              <w:rPr>
                <w:rFonts w:cs="Arial"/>
                <w:iCs/>
                <w:color w:val="auto"/>
              </w:rPr>
            </w:pPr>
            <w:r w:rsidRPr="00466082">
              <w:rPr>
                <w:rFonts w:cs="Arial"/>
                <w:b/>
                <w:bCs/>
                <w:iCs/>
                <w:color w:val="auto"/>
              </w:rPr>
              <w:t>Evidence-</w:t>
            </w:r>
            <w:hyperlink r:id="rId13" w:history="1">
              <w:r w:rsidR="00773FF0">
                <w:rPr>
                  <w:rStyle w:val="Hyperlink"/>
                  <w:rFonts w:cs="Arial"/>
                  <w:iCs/>
                </w:rPr>
                <w:t>EEf Toolkit: Feedback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674AE" w14:textId="03C191ED" w:rsidR="00C51B8C" w:rsidRPr="00F15D44" w:rsidRDefault="00CF1522">
            <w:pPr>
              <w:pStyle w:val="TableRowCentered"/>
              <w:jc w:val="left"/>
              <w:rPr>
                <w:b/>
                <w:bCs/>
                <w:sz w:val="22"/>
              </w:rPr>
            </w:pPr>
            <w:r w:rsidRPr="00F15D44">
              <w:rPr>
                <w:b/>
                <w:bCs/>
                <w:sz w:val="22"/>
              </w:rPr>
              <w:t>1,</w:t>
            </w:r>
            <w:r w:rsidR="00F15D44">
              <w:rPr>
                <w:b/>
                <w:bCs/>
                <w:sz w:val="22"/>
              </w:rPr>
              <w:t xml:space="preserve"> </w:t>
            </w:r>
            <w:r w:rsidRPr="00F15D44">
              <w:rPr>
                <w:b/>
                <w:bCs/>
                <w:sz w:val="22"/>
              </w:rPr>
              <w:t>2</w:t>
            </w:r>
          </w:p>
        </w:tc>
      </w:tr>
      <w:tr w:rsidR="00466082" w14:paraId="776B7679" w14:textId="77777777" w:rsidTr="00B865BA">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B4CBA" w14:textId="4CDFCF34" w:rsidR="00C51B8C" w:rsidRPr="00F15D44" w:rsidRDefault="00C51B8C">
            <w:pPr>
              <w:pStyle w:val="TableRow"/>
              <w:rPr>
                <w:b/>
                <w:bCs/>
                <w:iCs/>
                <w:sz w:val="22"/>
              </w:rPr>
            </w:pPr>
            <w:r w:rsidRPr="00F15D44">
              <w:rPr>
                <w:b/>
                <w:bCs/>
                <w:iCs/>
                <w:sz w:val="22"/>
              </w:rPr>
              <w:t>Training on the use of FFT to track and identify children who aren’t making expected progress</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E52D" w14:textId="77777777" w:rsidR="00C51B8C" w:rsidRDefault="00834F4A" w:rsidP="00AA6922">
            <w:pPr>
              <w:spacing w:before="60" w:after="60" w:line="240" w:lineRule="auto"/>
              <w:ind w:left="57" w:right="57"/>
              <w:rPr>
                <w:rFonts w:cs="Arial"/>
                <w:iCs/>
                <w:color w:val="auto"/>
              </w:rPr>
            </w:pPr>
            <w:r w:rsidRPr="00834F4A">
              <w:rPr>
                <w:rFonts w:cs="Arial"/>
                <w:b/>
                <w:bCs/>
                <w:iCs/>
                <w:color w:val="auto"/>
              </w:rPr>
              <w:t>Aim</w:t>
            </w:r>
            <w:r>
              <w:rPr>
                <w:rFonts w:cs="Arial"/>
                <w:b/>
                <w:bCs/>
                <w:iCs/>
                <w:color w:val="auto"/>
              </w:rPr>
              <w:t>-</w:t>
            </w:r>
            <w:r w:rsidR="00857982">
              <w:rPr>
                <w:rFonts w:cs="Arial"/>
                <w:iCs/>
                <w:color w:val="auto"/>
              </w:rPr>
              <w:t xml:space="preserve"> Continued and succinct data tracking from Reception through to Year 6. To ensure children remain on track to achieve expected targets and are not falling behind in assessment areas.</w:t>
            </w:r>
          </w:p>
          <w:p w14:paraId="2475C4CC" w14:textId="77777777" w:rsidR="00857982" w:rsidRDefault="00857982" w:rsidP="00AA6922">
            <w:pPr>
              <w:spacing w:before="60" w:after="60" w:line="240" w:lineRule="auto"/>
              <w:ind w:left="57" w:right="57"/>
              <w:rPr>
                <w:rFonts w:cs="Arial"/>
                <w:iCs/>
                <w:color w:val="auto"/>
              </w:rPr>
            </w:pPr>
          </w:p>
          <w:p w14:paraId="2D406AEC" w14:textId="7741EB05" w:rsidR="00857982" w:rsidRDefault="00857982" w:rsidP="00AA6922">
            <w:pPr>
              <w:spacing w:before="60" w:after="60" w:line="240" w:lineRule="auto"/>
              <w:ind w:left="57" w:right="57"/>
              <w:rPr>
                <w:rFonts w:cs="Arial"/>
                <w:b/>
                <w:bCs/>
                <w:iCs/>
                <w:color w:val="auto"/>
              </w:rPr>
            </w:pPr>
            <w:r w:rsidRPr="00857982">
              <w:rPr>
                <w:rFonts w:cs="Arial"/>
                <w:b/>
                <w:bCs/>
                <w:iCs/>
                <w:color w:val="auto"/>
              </w:rPr>
              <w:t>Evidence-</w:t>
            </w:r>
            <w:r w:rsidR="00F15D44" w:rsidRPr="00F15D44">
              <w:rPr>
                <w:rFonts w:cs="Arial"/>
                <w:iCs/>
                <w:color w:val="auto"/>
              </w:rPr>
              <w:t xml:space="preserve"> </w:t>
            </w:r>
            <w:hyperlink r:id="rId14" w:history="1">
              <w:r w:rsidR="00F15D44" w:rsidRPr="00F15D44">
                <w:rPr>
                  <w:rStyle w:val="Hyperlink"/>
                  <w:rFonts w:cs="Arial"/>
                  <w:iCs/>
                </w:rPr>
                <w:t>https://ffteducationdatalab.org.uk/</w:t>
              </w:r>
            </w:hyperlink>
          </w:p>
          <w:p w14:paraId="790B2A2C" w14:textId="3407E09B" w:rsidR="00F15D44" w:rsidRPr="00857982" w:rsidRDefault="00F15D44" w:rsidP="00AA6922">
            <w:pPr>
              <w:spacing w:before="60" w:after="60" w:line="240" w:lineRule="auto"/>
              <w:ind w:left="57" w:right="57"/>
              <w:rPr>
                <w:rFonts w:cs="Arial"/>
                <w:b/>
                <w:bCs/>
                <w:iCs/>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DD970" w14:textId="1D1A8996" w:rsidR="00C51B8C" w:rsidRPr="00F15D44" w:rsidRDefault="00CF1522">
            <w:pPr>
              <w:pStyle w:val="TableRowCentered"/>
              <w:jc w:val="left"/>
              <w:rPr>
                <w:b/>
                <w:bCs/>
                <w:sz w:val="22"/>
              </w:rPr>
            </w:pPr>
            <w:r w:rsidRPr="00F15D44">
              <w:rPr>
                <w:b/>
                <w:bCs/>
                <w:sz w:val="22"/>
              </w:rPr>
              <w:t>1, 2, 3</w:t>
            </w:r>
          </w:p>
        </w:tc>
      </w:tr>
      <w:tr w:rsidR="00466082" w14:paraId="1D6E380E" w14:textId="77777777" w:rsidTr="00B865BA">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F2721" w14:textId="6C4B0502" w:rsidR="00C51B8C" w:rsidRPr="00F15D44" w:rsidRDefault="00C51B8C">
            <w:pPr>
              <w:pStyle w:val="TableRow"/>
              <w:rPr>
                <w:b/>
                <w:bCs/>
                <w:iCs/>
                <w:sz w:val="22"/>
              </w:rPr>
            </w:pPr>
            <w:r w:rsidRPr="00F15D44">
              <w:rPr>
                <w:b/>
                <w:bCs/>
                <w:iCs/>
                <w:sz w:val="22"/>
              </w:rPr>
              <w:t>Development of</w:t>
            </w:r>
            <w:r w:rsidR="003732FF" w:rsidRPr="00F15D44">
              <w:rPr>
                <w:b/>
                <w:bCs/>
                <w:iCs/>
                <w:sz w:val="22"/>
              </w:rPr>
              <w:t xml:space="preserve"> high quality interactions between pupils and adults in the EYFS</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B4CA3" w14:textId="616C7A0F" w:rsidR="00F53128" w:rsidRDefault="003732FF" w:rsidP="00AA6922">
            <w:pPr>
              <w:spacing w:before="60" w:after="60" w:line="240" w:lineRule="auto"/>
              <w:ind w:left="57" w:right="57"/>
              <w:rPr>
                <w:rFonts w:cs="Arial"/>
                <w:iCs/>
                <w:color w:val="auto"/>
              </w:rPr>
            </w:pPr>
            <w:r w:rsidRPr="00CD4F80">
              <w:rPr>
                <w:rFonts w:cs="Arial"/>
                <w:b/>
                <w:bCs/>
                <w:iCs/>
                <w:color w:val="auto"/>
              </w:rPr>
              <w:t>Aim</w:t>
            </w:r>
            <w:r>
              <w:rPr>
                <w:rFonts w:cs="Arial"/>
                <w:iCs/>
                <w:color w:val="auto"/>
              </w:rPr>
              <w:t>- Through high quality interactions between adults and pupils there will be an increase and development in the quality of the spoken vocabulary amongst our youngest children.</w:t>
            </w:r>
          </w:p>
          <w:p w14:paraId="199371A9" w14:textId="4597FFDC" w:rsidR="003732FF" w:rsidRDefault="003732FF" w:rsidP="00AA6922">
            <w:pPr>
              <w:spacing w:before="60" w:after="60" w:line="240" w:lineRule="auto"/>
              <w:ind w:left="57" w:right="57"/>
              <w:rPr>
                <w:rFonts w:cs="Arial"/>
                <w:iCs/>
                <w:color w:val="auto"/>
              </w:rPr>
            </w:pPr>
            <w:r w:rsidRPr="00CD4F80">
              <w:rPr>
                <w:rFonts w:cs="Arial"/>
                <w:b/>
                <w:bCs/>
                <w:iCs/>
                <w:color w:val="auto"/>
              </w:rPr>
              <w:t>Evidence</w:t>
            </w:r>
            <w:r>
              <w:rPr>
                <w:rFonts w:cs="Arial"/>
                <w:iCs/>
                <w:color w:val="auto"/>
              </w:rPr>
              <w:t xml:space="preserve">- </w:t>
            </w:r>
            <w:hyperlink r:id="rId15" w:history="1">
              <w:r>
                <w:rPr>
                  <w:rStyle w:val="Hyperlink"/>
                  <w:rFonts w:cs="Arial"/>
                  <w:iCs/>
                </w:rPr>
                <w:t>EEF- High quality interactions, the SHREC approach</w:t>
              </w:r>
            </w:hyperlink>
          </w:p>
          <w:p w14:paraId="5B1D02AA" w14:textId="7DB79247" w:rsidR="00C51B8C" w:rsidRDefault="00C51B8C" w:rsidP="00AA6922">
            <w:pPr>
              <w:spacing w:before="60" w:after="60" w:line="240" w:lineRule="auto"/>
              <w:ind w:left="57" w:right="57"/>
              <w:rPr>
                <w:rFonts w:cs="Arial"/>
                <w:iCs/>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2042" w14:textId="281EE0A2" w:rsidR="00C51B8C" w:rsidRPr="00F15D44" w:rsidRDefault="00CF1522">
            <w:pPr>
              <w:pStyle w:val="TableRowCentered"/>
              <w:jc w:val="left"/>
              <w:rPr>
                <w:b/>
                <w:bCs/>
                <w:sz w:val="22"/>
              </w:rPr>
            </w:pPr>
            <w:r w:rsidRPr="00F15D44">
              <w:rPr>
                <w:b/>
                <w:bCs/>
                <w:sz w:val="22"/>
              </w:rPr>
              <w:t>1, 3</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3E3940C9" w14:textId="77777777" w:rsidR="00702E96" w:rsidRPr="00B114DC" w:rsidRDefault="00702E96" w:rsidP="00702E96">
      <w:r w:rsidRPr="00B114DC">
        <w:t>Budgeted cost: £121,006</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14:paraId="2A7D5528"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BCD4F0B" w:rsidR="00E66558" w:rsidRPr="00F15D44" w:rsidRDefault="007F1C82">
            <w:pPr>
              <w:pStyle w:val="TableRow"/>
              <w:rPr>
                <w:b/>
                <w:bCs/>
              </w:rPr>
            </w:pPr>
            <w:r w:rsidRPr="00F15D44">
              <w:rPr>
                <w:b/>
                <w:bCs/>
              </w:rPr>
              <w:t>Small group and 1:1 interventions phonics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39112" w14:textId="48B674AA" w:rsidR="003746E5" w:rsidRDefault="003746E5" w:rsidP="003746E5">
            <w:pPr>
              <w:pStyle w:val="TableRowCentered"/>
              <w:jc w:val="left"/>
              <w:rPr>
                <w:sz w:val="22"/>
              </w:rPr>
            </w:pPr>
            <w:r>
              <w:rPr>
                <w:b/>
                <w:bCs/>
                <w:sz w:val="22"/>
              </w:rPr>
              <w:t xml:space="preserve">Aim: </w:t>
            </w:r>
            <w:r>
              <w:rPr>
                <w:sz w:val="22"/>
              </w:rPr>
              <w:t xml:space="preserve">1:1 support so that children can work on individual focused targets. Small group work to support children on identified gaps in learning or areas of weakness. </w:t>
            </w:r>
            <w:r w:rsidR="00F15D44">
              <w:rPr>
                <w:sz w:val="22"/>
              </w:rPr>
              <w:t>This is part of the Little Wandle scheme- Keep Up.</w:t>
            </w:r>
          </w:p>
          <w:p w14:paraId="4DBBB92E" w14:textId="7AF9AB5B" w:rsidR="003746E5" w:rsidRPr="003746E5" w:rsidRDefault="003746E5" w:rsidP="003746E5">
            <w:pPr>
              <w:pStyle w:val="TableRowCentered"/>
              <w:jc w:val="left"/>
              <w:rPr>
                <w:bCs/>
                <w:sz w:val="22"/>
              </w:rPr>
            </w:pPr>
            <w:r>
              <w:rPr>
                <w:bCs/>
                <w:sz w:val="22"/>
              </w:rPr>
              <w:t>In KS2 this would include Little Wandle Rapid Catch Up.</w:t>
            </w:r>
          </w:p>
          <w:p w14:paraId="25D11A6F" w14:textId="77777777" w:rsidR="003746E5" w:rsidRDefault="003746E5" w:rsidP="003746E5">
            <w:pPr>
              <w:pStyle w:val="TableRowCentered"/>
              <w:jc w:val="left"/>
              <w:rPr>
                <w:b/>
                <w:bCs/>
                <w:sz w:val="22"/>
              </w:rPr>
            </w:pPr>
          </w:p>
          <w:p w14:paraId="61EFE552" w14:textId="77777777" w:rsidR="003746E5" w:rsidRDefault="003746E5" w:rsidP="003746E5">
            <w:pPr>
              <w:pStyle w:val="TableRowCentered"/>
              <w:jc w:val="left"/>
              <w:rPr>
                <w:sz w:val="22"/>
              </w:rPr>
            </w:pPr>
            <w:r>
              <w:rPr>
                <w:b/>
                <w:bCs/>
                <w:sz w:val="22"/>
              </w:rPr>
              <w:t xml:space="preserve">Evidence: </w:t>
            </w:r>
            <w:r>
              <w:rPr>
                <w:sz w:val="22"/>
              </w:rPr>
              <w:t xml:space="preserve">Is particularly impactful for pupils with low prior attainment or with a particular area of need. Higher impact when interventions are additional to and link to other, in-class learning. </w:t>
            </w:r>
          </w:p>
          <w:p w14:paraId="4B3D6231" w14:textId="77777777" w:rsidR="003746E5" w:rsidRDefault="003746E5" w:rsidP="003746E5">
            <w:pPr>
              <w:pStyle w:val="TableRowCentered"/>
              <w:jc w:val="left"/>
              <w:rPr>
                <w:b/>
                <w:bCs/>
                <w:sz w:val="22"/>
              </w:rPr>
            </w:pPr>
          </w:p>
          <w:p w14:paraId="2A7D552A" w14:textId="0CECBEC1" w:rsidR="00E66558" w:rsidRDefault="00702E96" w:rsidP="003746E5">
            <w:pPr>
              <w:pStyle w:val="TableRowCentered"/>
              <w:jc w:val="left"/>
              <w:rPr>
                <w:sz w:val="22"/>
              </w:rPr>
            </w:pPr>
            <w:hyperlink r:id="rId16" w:history="1">
              <w:r w:rsidR="003746E5" w:rsidRPr="009823AF">
                <w:rPr>
                  <w:rStyle w:val="Hyperlink"/>
                  <w:sz w:val="22"/>
                </w:rPr>
                <w:t>EEF Toolkit: one-to-one tuition.</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E28BF43" w:rsidR="00E66558" w:rsidRPr="003746E5" w:rsidRDefault="003746E5">
            <w:pPr>
              <w:pStyle w:val="TableRowCentered"/>
              <w:jc w:val="left"/>
              <w:rPr>
                <w:b/>
                <w:bCs/>
                <w:sz w:val="22"/>
              </w:rPr>
            </w:pPr>
            <w:r w:rsidRPr="003746E5">
              <w:rPr>
                <w:b/>
                <w:bCs/>
                <w:sz w:val="22"/>
              </w:rPr>
              <w:lastRenderedPageBreak/>
              <w:t>1, 2</w:t>
            </w:r>
          </w:p>
        </w:tc>
      </w:tr>
      <w:tr w:rsidR="00E66558" w14:paraId="2A7D5530"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8FF3160" w:rsidR="00E66558" w:rsidRPr="0016557A" w:rsidRDefault="007F1C82">
            <w:pPr>
              <w:pStyle w:val="TableRow"/>
              <w:rPr>
                <w:b/>
                <w:bCs/>
                <w:iCs/>
                <w:sz w:val="22"/>
              </w:rPr>
            </w:pPr>
            <w:r w:rsidRPr="0016557A">
              <w:rPr>
                <w:b/>
                <w:bCs/>
                <w:iCs/>
                <w:sz w:val="22"/>
              </w:rPr>
              <w:t xml:space="preserve">Collins </w:t>
            </w:r>
            <w:r w:rsidR="0016557A" w:rsidRPr="0016557A">
              <w:rPr>
                <w:b/>
                <w:bCs/>
                <w:iCs/>
                <w:sz w:val="22"/>
              </w:rPr>
              <w:t xml:space="preserve"> Secure </w:t>
            </w:r>
            <w:r w:rsidRPr="0016557A">
              <w:rPr>
                <w:b/>
                <w:bCs/>
                <w:iCs/>
                <w:sz w:val="22"/>
              </w:rPr>
              <w:t>maths</w:t>
            </w:r>
            <w:r w:rsidR="0016557A" w:rsidRPr="0016557A">
              <w:rPr>
                <w:b/>
                <w:bCs/>
                <w:iCs/>
                <w:sz w:val="22"/>
              </w:rPr>
              <w:t xml:space="preserve"> scheme</w:t>
            </w:r>
            <w:r w:rsidR="0016557A">
              <w:rPr>
                <w:b/>
                <w:bCs/>
                <w:iCs/>
                <w:sz w:val="22"/>
              </w:rPr>
              <w:t>- small group maths intervention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12F66" w14:textId="5714E448" w:rsidR="00E66558" w:rsidRDefault="00373179">
            <w:pPr>
              <w:pStyle w:val="TableRowCentered"/>
              <w:jc w:val="left"/>
              <w:rPr>
                <w:sz w:val="22"/>
              </w:rPr>
            </w:pPr>
            <w:r w:rsidRPr="00373179">
              <w:rPr>
                <w:b/>
                <w:bCs/>
                <w:sz w:val="22"/>
              </w:rPr>
              <w:t>Aim:</w:t>
            </w:r>
            <w:r>
              <w:rPr>
                <w:b/>
                <w:bCs/>
                <w:sz w:val="22"/>
              </w:rPr>
              <w:t xml:space="preserve"> </w:t>
            </w:r>
            <w:r w:rsidRPr="00373179">
              <w:rPr>
                <w:sz w:val="22"/>
              </w:rPr>
              <w:t>Children to work on personalised and identified targets to close the gaps in their maths learning.</w:t>
            </w:r>
          </w:p>
          <w:p w14:paraId="57867BBE" w14:textId="77777777" w:rsidR="00373179" w:rsidRDefault="00373179" w:rsidP="00373179">
            <w:pPr>
              <w:pStyle w:val="TableRowCentered"/>
              <w:ind w:left="0"/>
              <w:jc w:val="left"/>
              <w:rPr>
                <w:sz w:val="22"/>
              </w:rPr>
            </w:pPr>
          </w:p>
          <w:p w14:paraId="2A7D552E" w14:textId="7A0D2CB3" w:rsidR="00373179" w:rsidRPr="00373179" w:rsidRDefault="00373179">
            <w:pPr>
              <w:pStyle w:val="TableRowCentered"/>
              <w:jc w:val="left"/>
              <w:rPr>
                <w:b/>
                <w:bCs/>
                <w:sz w:val="22"/>
              </w:rPr>
            </w:pPr>
            <w:r>
              <w:rPr>
                <w:b/>
                <w:bCs/>
                <w:sz w:val="22"/>
              </w:rPr>
              <w:t>Evidence</w:t>
            </w:r>
            <w:r w:rsidRPr="00373179">
              <w:rPr>
                <w:sz w:val="22"/>
              </w:rPr>
              <w:t xml:space="preserve">: </w:t>
            </w:r>
            <w:hyperlink r:id="rId17" w:history="1">
              <w:r w:rsidRPr="00373179">
                <w:rPr>
                  <w:rStyle w:val="Hyperlink"/>
                  <w:sz w:val="22"/>
                </w:rPr>
                <w:t>EEF- Small group tuition</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34E8379" w:rsidR="00E66558" w:rsidRPr="003746E5" w:rsidRDefault="003746E5">
            <w:pPr>
              <w:pStyle w:val="TableRowCentered"/>
              <w:jc w:val="left"/>
              <w:rPr>
                <w:b/>
                <w:bCs/>
                <w:sz w:val="22"/>
              </w:rPr>
            </w:pPr>
            <w:r w:rsidRPr="003746E5">
              <w:rPr>
                <w:b/>
                <w:bCs/>
                <w:sz w:val="22"/>
              </w:rPr>
              <w:t>1, 2</w:t>
            </w:r>
          </w:p>
        </w:tc>
      </w:tr>
      <w:tr w:rsidR="007F1C82" w14:paraId="542B8968"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1830" w14:textId="458273A5" w:rsidR="007F1C82" w:rsidRPr="0016557A" w:rsidRDefault="007F1C82">
            <w:pPr>
              <w:pStyle w:val="TableRow"/>
              <w:rPr>
                <w:b/>
                <w:bCs/>
                <w:iCs/>
                <w:sz w:val="22"/>
              </w:rPr>
            </w:pPr>
            <w:r w:rsidRPr="0016557A">
              <w:rPr>
                <w:b/>
                <w:bCs/>
                <w:iCs/>
                <w:sz w:val="22"/>
              </w:rPr>
              <w:t>H</w:t>
            </w:r>
            <w:r w:rsidR="0016557A" w:rsidRPr="0016557A">
              <w:rPr>
                <w:b/>
                <w:bCs/>
                <w:iCs/>
                <w:sz w:val="22"/>
              </w:rPr>
              <w:t xml:space="preserve">erts </w:t>
            </w:r>
            <w:r w:rsidRPr="0016557A">
              <w:rPr>
                <w:b/>
                <w:bCs/>
                <w:iCs/>
                <w:sz w:val="22"/>
              </w:rPr>
              <w:t>F</w:t>
            </w:r>
            <w:r w:rsidR="0016557A" w:rsidRPr="0016557A">
              <w:rPr>
                <w:b/>
                <w:bCs/>
                <w:iCs/>
                <w:sz w:val="22"/>
              </w:rPr>
              <w:t xml:space="preserve">or </w:t>
            </w:r>
            <w:r w:rsidRPr="0016557A">
              <w:rPr>
                <w:b/>
                <w:bCs/>
                <w:iCs/>
                <w:sz w:val="22"/>
              </w:rPr>
              <w:t>L</w:t>
            </w:r>
            <w:r w:rsidR="0016557A" w:rsidRPr="0016557A">
              <w:rPr>
                <w:b/>
                <w:bCs/>
                <w:iCs/>
                <w:sz w:val="22"/>
              </w:rPr>
              <w:t>earning-</w:t>
            </w:r>
            <w:r w:rsidRPr="0016557A">
              <w:rPr>
                <w:b/>
                <w:bCs/>
                <w:iCs/>
                <w:sz w:val="22"/>
              </w:rPr>
              <w:t xml:space="preserve"> </w:t>
            </w:r>
            <w:r w:rsidR="0016557A" w:rsidRPr="0016557A">
              <w:rPr>
                <w:b/>
                <w:bCs/>
                <w:iCs/>
                <w:sz w:val="22"/>
              </w:rPr>
              <w:t xml:space="preserve"> KS2 small group reading  </w:t>
            </w:r>
            <w:r w:rsidRPr="0016557A">
              <w:rPr>
                <w:b/>
                <w:bCs/>
                <w:iCs/>
                <w:sz w:val="22"/>
              </w:rPr>
              <w:t>fluency intervention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6F1B9" w14:textId="009A3ECD" w:rsidR="007F1C82" w:rsidRDefault="00373179">
            <w:pPr>
              <w:pStyle w:val="TableRowCentered"/>
              <w:jc w:val="left"/>
              <w:rPr>
                <w:sz w:val="22"/>
              </w:rPr>
            </w:pPr>
            <w:r w:rsidRPr="00E50260">
              <w:rPr>
                <w:b/>
                <w:bCs/>
                <w:sz w:val="22"/>
              </w:rPr>
              <w:t>Aim</w:t>
            </w:r>
            <w:r>
              <w:rPr>
                <w:sz w:val="22"/>
              </w:rPr>
              <w:t xml:space="preserve">: </w:t>
            </w:r>
            <w:r w:rsidR="00F15D44">
              <w:rPr>
                <w:sz w:val="22"/>
              </w:rPr>
              <w:t>Targeted c</w:t>
            </w:r>
            <w:r>
              <w:rPr>
                <w:sz w:val="22"/>
              </w:rPr>
              <w:t xml:space="preserve">hildren to make accelerated progress in their fluency and reading comprehension skills </w:t>
            </w:r>
          </w:p>
          <w:p w14:paraId="42881E15" w14:textId="5D3EA9D9" w:rsidR="00373179" w:rsidRPr="00373179" w:rsidRDefault="00373179">
            <w:pPr>
              <w:pStyle w:val="TableRowCentered"/>
              <w:jc w:val="left"/>
              <w:rPr>
                <w:b/>
                <w:bCs/>
              </w:rPr>
            </w:pPr>
            <w:r w:rsidRPr="00373179">
              <w:rPr>
                <w:b/>
                <w:bCs/>
              </w:rPr>
              <w:t>Evidence:</w:t>
            </w:r>
          </w:p>
          <w:p w14:paraId="6101B59F" w14:textId="3D9CC6EC" w:rsidR="00373179" w:rsidRDefault="00702E96">
            <w:pPr>
              <w:pStyle w:val="TableRowCentered"/>
              <w:jc w:val="left"/>
              <w:rPr>
                <w:rStyle w:val="Hyperlink"/>
                <w:rFonts w:cs="Arial"/>
                <w:iCs/>
              </w:rPr>
            </w:pPr>
            <w:hyperlink r:id="rId18" w:history="1">
              <w:r w:rsidR="00373179">
                <w:rPr>
                  <w:rStyle w:val="Hyperlink"/>
                  <w:rFonts w:cs="Arial"/>
                  <w:iCs/>
                </w:rPr>
                <w:t>EEF- Improving Literacy in KS2</w:t>
              </w:r>
            </w:hyperlink>
            <w:r w:rsidR="00373179">
              <w:rPr>
                <w:rStyle w:val="Hyperlink"/>
                <w:rFonts w:cs="Arial"/>
                <w:iCs/>
              </w:rPr>
              <w:t xml:space="preserve"> </w:t>
            </w:r>
          </w:p>
          <w:p w14:paraId="67D5D1CF" w14:textId="3E577E80" w:rsidR="00373179" w:rsidRDefault="00373179" w:rsidP="00373179">
            <w:pPr>
              <w:pStyle w:val="TableRowCentered"/>
              <w:ind w:left="0"/>
              <w:jc w:val="left"/>
              <w:rPr>
                <w:sz w:val="22"/>
              </w:rPr>
            </w:pPr>
            <w:r>
              <w:rPr>
                <w:sz w:val="22"/>
              </w:rPr>
              <w:t xml:space="preserve"> </w:t>
            </w:r>
            <w:hyperlink r:id="rId19" w:history="1">
              <w:r w:rsidRPr="00373179">
                <w:rPr>
                  <w:rStyle w:val="Hyperlink"/>
                  <w:sz w:val="22"/>
                </w:rPr>
                <w:t>EEF- Small group tuition</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EF361" w14:textId="4B5FA84B" w:rsidR="007F1C82" w:rsidRPr="003746E5" w:rsidRDefault="003746E5">
            <w:pPr>
              <w:pStyle w:val="TableRowCentered"/>
              <w:jc w:val="left"/>
              <w:rPr>
                <w:b/>
                <w:bCs/>
                <w:sz w:val="22"/>
              </w:rPr>
            </w:pPr>
            <w:r w:rsidRPr="003746E5">
              <w:rPr>
                <w:b/>
                <w:bCs/>
                <w:sz w:val="22"/>
              </w:rPr>
              <w:t>2, 3</w:t>
            </w:r>
          </w:p>
        </w:tc>
      </w:tr>
      <w:tr w:rsidR="007F1C82" w14:paraId="6513DF3C"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F3762" w14:textId="5D99512C" w:rsidR="007F1C82" w:rsidRPr="0016557A" w:rsidRDefault="0016557A">
            <w:pPr>
              <w:pStyle w:val="TableRow"/>
              <w:rPr>
                <w:b/>
                <w:bCs/>
                <w:iCs/>
                <w:sz w:val="22"/>
              </w:rPr>
            </w:pPr>
            <w:r w:rsidRPr="0016557A">
              <w:rPr>
                <w:b/>
                <w:bCs/>
                <w:iCs/>
                <w:sz w:val="22"/>
              </w:rPr>
              <w:t xml:space="preserve">Specific </w:t>
            </w:r>
            <w:r w:rsidR="0092535E" w:rsidRPr="0016557A">
              <w:rPr>
                <w:b/>
                <w:bCs/>
                <w:iCs/>
                <w:sz w:val="22"/>
              </w:rPr>
              <w:t xml:space="preserve">high quality interventions </w:t>
            </w:r>
            <w:r w:rsidRPr="0016557A">
              <w:rPr>
                <w:b/>
                <w:bCs/>
                <w:iCs/>
                <w:sz w:val="22"/>
              </w:rPr>
              <w:t>for disadvantaged children with SEND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79676" w14:textId="77777777" w:rsidR="007F1C82" w:rsidRDefault="0092535E">
            <w:pPr>
              <w:pStyle w:val="TableRowCentered"/>
              <w:jc w:val="left"/>
              <w:rPr>
                <w:sz w:val="22"/>
              </w:rPr>
            </w:pPr>
            <w:r w:rsidRPr="0092535E">
              <w:rPr>
                <w:b/>
                <w:bCs/>
                <w:sz w:val="22"/>
              </w:rPr>
              <w:t>Aim</w:t>
            </w:r>
            <w:r>
              <w:rPr>
                <w:sz w:val="22"/>
              </w:rPr>
              <w:t>: Children will make good or better progress from starting points through the use of interventions either 1:1 or very small group.</w:t>
            </w:r>
          </w:p>
          <w:p w14:paraId="59DB698A" w14:textId="77777777" w:rsidR="0092535E" w:rsidRDefault="0092535E" w:rsidP="0016557A">
            <w:pPr>
              <w:pStyle w:val="TableRowCentered"/>
              <w:numPr>
                <w:ilvl w:val="0"/>
                <w:numId w:val="28"/>
              </w:numPr>
              <w:jc w:val="left"/>
              <w:rPr>
                <w:sz w:val="22"/>
              </w:rPr>
            </w:pPr>
            <w:r>
              <w:rPr>
                <w:sz w:val="22"/>
              </w:rPr>
              <w:t>Speech and language therapy</w:t>
            </w:r>
          </w:p>
          <w:p w14:paraId="427B0A85" w14:textId="7AF311DD" w:rsidR="0092535E" w:rsidRDefault="0092535E" w:rsidP="0016557A">
            <w:pPr>
              <w:pStyle w:val="TableRowCentered"/>
              <w:numPr>
                <w:ilvl w:val="0"/>
                <w:numId w:val="28"/>
              </w:numPr>
              <w:jc w:val="left"/>
              <w:rPr>
                <w:sz w:val="22"/>
              </w:rPr>
            </w:pPr>
            <w:r>
              <w:rPr>
                <w:sz w:val="22"/>
              </w:rPr>
              <w:t>STIPS support for teachers and TAs for children who have specific literacy or behaviour challenges.</w:t>
            </w:r>
          </w:p>
          <w:p w14:paraId="5A0147E4" w14:textId="77777777" w:rsidR="0092535E" w:rsidRDefault="0092535E">
            <w:pPr>
              <w:pStyle w:val="TableRowCentered"/>
              <w:jc w:val="left"/>
              <w:rPr>
                <w:sz w:val="22"/>
              </w:rPr>
            </w:pPr>
          </w:p>
          <w:p w14:paraId="69D712A4" w14:textId="5249942C" w:rsidR="0092535E" w:rsidRPr="0092535E" w:rsidRDefault="0092535E">
            <w:pPr>
              <w:pStyle w:val="TableRowCentered"/>
              <w:jc w:val="left"/>
              <w:rPr>
                <w:b/>
                <w:bCs/>
                <w:sz w:val="22"/>
              </w:rPr>
            </w:pPr>
            <w:r w:rsidRPr="0092535E">
              <w:rPr>
                <w:b/>
                <w:bCs/>
                <w:sz w:val="22"/>
              </w:rPr>
              <w:t>Evidence:</w:t>
            </w:r>
            <w:r>
              <w:t xml:space="preserve"> </w:t>
            </w:r>
            <w:hyperlink r:id="rId20" w:history="1">
              <w:r w:rsidRPr="009823AF">
                <w:rPr>
                  <w:rStyle w:val="Hyperlink"/>
                  <w:sz w:val="22"/>
                </w:rPr>
                <w:t>EEF Toolkit: one-to-one tuition.</w:t>
              </w:r>
            </w:hyperlink>
          </w:p>
          <w:p w14:paraId="1CDC9F6B" w14:textId="536F2479" w:rsidR="0092535E" w:rsidRDefault="0092535E">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C862A" w14:textId="2FC81D4A" w:rsidR="007F1C82" w:rsidRPr="003746E5" w:rsidRDefault="003746E5">
            <w:pPr>
              <w:pStyle w:val="TableRowCentered"/>
              <w:jc w:val="left"/>
              <w:rPr>
                <w:b/>
                <w:bCs/>
                <w:sz w:val="22"/>
              </w:rPr>
            </w:pPr>
            <w:r w:rsidRPr="003746E5">
              <w:rPr>
                <w:b/>
                <w:bCs/>
                <w:sz w:val="22"/>
              </w:rPr>
              <w:t>1</w:t>
            </w:r>
          </w:p>
        </w:tc>
      </w:tr>
      <w:tr w:rsidR="007F1C82" w14:paraId="226B5FBC"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3B73B" w14:textId="547167B6" w:rsidR="007F1C82" w:rsidRPr="0016557A" w:rsidRDefault="003746E5">
            <w:pPr>
              <w:pStyle w:val="TableRow"/>
              <w:rPr>
                <w:b/>
                <w:bCs/>
                <w:iCs/>
                <w:sz w:val="22"/>
              </w:rPr>
            </w:pPr>
            <w:r w:rsidRPr="0016557A">
              <w:rPr>
                <w:b/>
                <w:bCs/>
                <w:iCs/>
                <w:sz w:val="22"/>
              </w:rPr>
              <w:t>To use trained Emotional Literacy Support Assistants (ELSA’s) to deliver 1:1 sessions to targeted children to support them in achieving individual emotional targets.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DEDA" w14:textId="77777777" w:rsidR="003746E5" w:rsidRPr="00BC0EB9" w:rsidRDefault="003746E5" w:rsidP="003746E5">
            <w:pPr>
              <w:pStyle w:val="TableRowCentered"/>
              <w:ind w:left="0"/>
              <w:jc w:val="left"/>
              <w:rPr>
                <w:sz w:val="22"/>
                <w:szCs w:val="22"/>
              </w:rPr>
            </w:pPr>
            <w:r w:rsidRPr="003A3A0C">
              <w:rPr>
                <w:b/>
                <w:bCs/>
                <w:sz w:val="22"/>
              </w:rPr>
              <w:t>Aim</w:t>
            </w:r>
            <w:r w:rsidRPr="00BC0EB9">
              <w:rPr>
                <w:b/>
                <w:bCs/>
                <w:sz w:val="22"/>
                <w:szCs w:val="22"/>
              </w:rPr>
              <w:t xml:space="preserve">: </w:t>
            </w:r>
            <w:r w:rsidRPr="00BC0EB9">
              <w:rPr>
                <w:rFonts w:eastAsia="MS Mincho"/>
                <w:sz w:val="22"/>
                <w:szCs w:val="22"/>
              </w:rPr>
              <w:t xml:space="preserve">To work with children to recognise and address their emotional needs to make them more successful in the classroom. </w:t>
            </w:r>
          </w:p>
          <w:p w14:paraId="71793F43" w14:textId="77777777" w:rsidR="003746E5" w:rsidRPr="00BC0EB9" w:rsidRDefault="003746E5" w:rsidP="003746E5">
            <w:pPr>
              <w:pStyle w:val="TableRowCentered"/>
              <w:ind w:left="0"/>
              <w:jc w:val="left"/>
              <w:rPr>
                <w:sz w:val="22"/>
                <w:szCs w:val="22"/>
              </w:rPr>
            </w:pPr>
          </w:p>
          <w:p w14:paraId="537CE706" w14:textId="77777777" w:rsidR="003746E5" w:rsidRPr="00BC0EB9" w:rsidRDefault="003746E5" w:rsidP="003746E5">
            <w:pPr>
              <w:pStyle w:val="TableRowCentered"/>
              <w:ind w:left="0"/>
              <w:jc w:val="left"/>
              <w:rPr>
                <w:sz w:val="22"/>
                <w:szCs w:val="22"/>
              </w:rPr>
            </w:pPr>
            <w:r w:rsidRPr="00BC0EB9">
              <w:rPr>
                <w:b/>
                <w:bCs/>
                <w:sz w:val="22"/>
                <w:szCs w:val="22"/>
              </w:rPr>
              <w:t xml:space="preserve">Evidence: </w:t>
            </w:r>
            <w:r w:rsidRPr="00BC0EB9">
              <w:rPr>
                <w:sz w:val="22"/>
                <w:szCs w:val="22"/>
              </w:rPr>
              <w:t xml:space="preserve">Social and emotional learning is considered beneficial to children although it may not initially translate into improved results. Targeted approaches to SEL are considered to have more impact. </w:t>
            </w:r>
          </w:p>
          <w:p w14:paraId="79B7AA6B" w14:textId="77777777" w:rsidR="003746E5" w:rsidRDefault="003746E5" w:rsidP="003746E5">
            <w:pPr>
              <w:pStyle w:val="TableRowCentered"/>
              <w:ind w:left="0"/>
              <w:jc w:val="left"/>
              <w:rPr>
                <w:sz w:val="22"/>
              </w:rPr>
            </w:pPr>
          </w:p>
          <w:p w14:paraId="5AD4228F" w14:textId="77777777" w:rsidR="007F1C82" w:rsidRDefault="00702E96" w:rsidP="003746E5">
            <w:pPr>
              <w:pStyle w:val="TableRowCentered"/>
              <w:jc w:val="left"/>
              <w:rPr>
                <w:rStyle w:val="Hyperlink"/>
                <w:sz w:val="22"/>
              </w:rPr>
            </w:pPr>
            <w:hyperlink r:id="rId21" w:history="1">
              <w:r w:rsidR="003746E5" w:rsidRPr="00141425">
                <w:rPr>
                  <w:rStyle w:val="Hyperlink"/>
                  <w:sz w:val="22"/>
                </w:rPr>
                <w:t>EEF Toolkit: social and emotional learning.</w:t>
              </w:r>
            </w:hyperlink>
          </w:p>
          <w:p w14:paraId="7EE92B12" w14:textId="53681400" w:rsidR="0016557A" w:rsidRDefault="0016557A" w:rsidP="003746E5">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64D2C" w14:textId="05E358CF" w:rsidR="007F1C82" w:rsidRPr="003746E5" w:rsidRDefault="003746E5">
            <w:pPr>
              <w:pStyle w:val="TableRowCentered"/>
              <w:jc w:val="left"/>
              <w:rPr>
                <w:b/>
                <w:bCs/>
                <w:sz w:val="22"/>
              </w:rPr>
            </w:pPr>
            <w:r w:rsidRPr="003746E5">
              <w:rPr>
                <w:b/>
                <w:bCs/>
                <w:sz w:val="22"/>
              </w:rPr>
              <w:t>1, 4</w:t>
            </w:r>
          </w:p>
        </w:tc>
      </w:tr>
      <w:tr w:rsidR="0016557A" w14:paraId="15E78733"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72C7A" w14:textId="2210EC38" w:rsidR="0016557A" w:rsidRPr="0016557A" w:rsidRDefault="00097950">
            <w:pPr>
              <w:pStyle w:val="TableRow"/>
              <w:rPr>
                <w:b/>
                <w:bCs/>
                <w:iCs/>
                <w:sz w:val="22"/>
                <w:highlight w:val="yellow"/>
              </w:rPr>
            </w:pPr>
            <w:r w:rsidRPr="00097950">
              <w:rPr>
                <w:b/>
                <w:bCs/>
                <w:iCs/>
                <w:sz w:val="22"/>
                <w:highlight w:val="lightGray"/>
              </w:rPr>
              <w:t xml:space="preserve"> </w:t>
            </w:r>
            <w:r w:rsidRPr="00097950">
              <w:rPr>
                <w:b/>
                <w:bCs/>
                <w:iCs/>
                <w:sz w:val="22"/>
              </w:rPr>
              <w:t xml:space="preserve">To use specialist </w:t>
            </w:r>
            <w:r w:rsidR="00AA39B1" w:rsidRPr="00097950">
              <w:rPr>
                <w:b/>
                <w:bCs/>
                <w:iCs/>
                <w:sz w:val="22"/>
              </w:rPr>
              <w:t>REMA</w:t>
            </w:r>
            <w:r w:rsidRPr="00097950">
              <w:rPr>
                <w:b/>
                <w:bCs/>
                <w:iCs/>
                <w:sz w:val="22"/>
              </w:rPr>
              <w:t xml:space="preserve"> teacher and TA to support the learning and language acquisition of our pupils with EAL.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B197C" w14:textId="6235BA29" w:rsidR="00097950" w:rsidRPr="00097950" w:rsidRDefault="00097950" w:rsidP="003746E5">
            <w:pPr>
              <w:pStyle w:val="TableRowCentered"/>
              <w:ind w:left="0"/>
              <w:jc w:val="left"/>
              <w:rPr>
                <w:sz w:val="22"/>
              </w:rPr>
            </w:pPr>
            <w:r>
              <w:rPr>
                <w:b/>
                <w:bCs/>
                <w:sz w:val="22"/>
              </w:rPr>
              <w:t xml:space="preserve">Aim: </w:t>
            </w:r>
            <w:r>
              <w:rPr>
                <w:sz w:val="22"/>
              </w:rPr>
              <w:t>EAL learners make up an increasing percentage of our school community. Specialist EAL teacher and TA provides first language assessments as well as targeted intervention to develop English language to ensure progress</w:t>
            </w:r>
            <w:r w:rsidR="00E50260">
              <w:rPr>
                <w:sz w:val="22"/>
              </w:rPr>
              <w:t xml:space="preserve"> and reduce gaps in learning.</w:t>
            </w:r>
          </w:p>
          <w:p w14:paraId="5091EA33" w14:textId="01ED5552" w:rsidR="00097950" w:rsidRDefault="00097950" w:rsidP="003746E5">
            <w:pPr>
              <w:pStyle w:val="TableRowCentered"/>
              <w:ind w:left="0"/>
              <w:jc w:val="left"/>
              <w:rPr>
                <w:sz w:val="22"/>
              </w:rPr>
            </w:pPr>
            <w:r>
              <w:rPr>
                <w:b/>
                <w:bCs/>
                <w:sz w:val="22"/>
              </w:rPr>
              <w:t>Evidence:</w:t>
            </w:r>
            <w:r>
              <w:rPr>
                <w:sz w:val="22"/>
              </w:rPr>
              <w:t xml:space="preserve"> </w:t>
            </w:r>
          </w:p>
          <w:p w14:paraId="69F1F027" w14:textId="545EB6A6" w:rsidR="0016557A" w:rsidRPr="00097950" w:rsidRDefault="00702E96" w:rsidP="003746E5">
            <w:pPr>
              <w:pStyle w:val="TableRowCentered"/>
              <w:ind w:left="0"/>
              <w:jc w:val="left"/>
              <w:rPr>
                <w:sz w:val="22"/>
              </w:rPr>
            </w:pPr>
            <w:hyperlink r:id="rId22" w:history="1">
              <w:r w:rsidR="00097950">
                <w:rPr>
                  <w:rStyle w:val="Hyperlink"/>
                  <w:sz w:val="22"/>
                </w:rPr>
                <w:t>Bell Foundation- new research on EAL learners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6EBFA" w14:textId="79928B10" w:rsidR="0016557A" w:rsidRPr="003746E5" w:rsidRDefault="00097950">
            <w:pPr>
              <w:pStyle w:val="TableRowCentered"/>
              <w:jc w:val="left"/>
              <w:rPr>
                <w:b/>
                <w:bCs/>
                <w:sz w:val="22"/>
              </w:rPr>
            </w:pPr>
            <w:r>
              <w:rPr>
                <w:b/>
                <w:bCs/>
                <w:sz w:val="22"/>
              </w:rPr>
              <w:t>1</w:t>
            </w:r>
          </w:p>
        </w:tc>
      </w:tr>
      <w:tr w:rsidR="00294AB6" w14:paraId="2B57C4E3"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AE201" w14:textId="7A046C66" w:rsidR="00294AB6" w:rsidRPr="00097950" w:rsidRDefault="00294AB6">
            <w:pPr>
              <w:pStyle w:val="TableRow"/>
              <w:rPr>
                <w:b/>
                <w:bCs/>
                <w:iCs/>
                <w:sz w:val="22"/>
                <w:highlight w:val="lightGray"/>
              </w:rPr>
            </w:pPr>
            <w:r w:rsidRPr="00A92452">
              <w:rPr>
                <w:b/>
                <w:bCs/>
                <w:iCs/>
                <w:sz w:val="22"/>
              </w:rPr>
              <w:t>To use teachers</w:t>
            </w:r>
            <w:r w:rsidR="003328AC" w:rsidRPr="00A92452">
              <w:rPr>
                <w:b/>
                <w:bCs/>
                <w:iCs/>
                <w:sz w:val="22"/>
              </w:rPr>
              <w:t xml:space="preserve"> across KS2</w:t>
            </w:r>
            <w:r w:rsidRPr="00A92452">
              <w:rPr>
                <w:b/>
                <w:bCs/>
                <w:iCs/>
                <w:sz w:val="22"/>
              </w:rPr>
              <w:t xml:space="preserve"> to</w:t>
            </w:r>
            <w:r w:rsidR="003328AC" w:rsidRPr="00A92452">
              <w:rPr>
                <w:b/>
                <w:bCs/>
                <w:iCs/>
                <w:sz w:val="22"/>
              </w:rPr>
              <w:t xml:space="preserve"> run</w:t>
            </w:r>
            <w:r w:rsidRPr="00A92452">
              <w:rPr>
                <w:b/>
                <w:bCs/>
                <w:iCs/>
                <w:sz w:val="22"/>
              </w:rPr>
              <w:t xml:space="preserve"> </w:t>
            </w:r>
            <w:r w:rsidR="003328AC" w:rsidRPr="00A92452">
              <w:rPr>
                <w:b/>
                <w:bCs/>
                <w:iCs/>
                <w:sz w:val="22"/>
              </w:rPr>
              <w:t>targeted intervention and 3</w:t>
            </w:r>
            <w:r w:rsidR="003328AC" w:rsidRPr="00A92452">
              <w:rPr>
                <w:b/>
                <w:bCs/>
                <w:iCs/>
                <w:sz w:val="22"/>
                <w:vertAlign w:val="superscript"/>
              </w:rPr>
              <w:t>rd</w:t>
            </w:r>
            <w:r w:rsidR="003328AC" w:rsidRPr="00A92452">
              <w:rPr>
                <w:b/>
                <w:bCs/>
                <w:iCs/>
                <w:sz w:val="22"/>
              </w:rPr>
              <w:t xml:space="preserve"> teacher groups in reading, writing and maths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3330" w14:textId="0FFF478A" w:rsidR="00294AB6" w:rsidRPr="009809D7" w:rsidRDefault="009809D7" w:rsidP="003746E5">
            <w:pPr>
              <w:pStyle w:val="TableRowCentered"/>
              <w:ind w:left="0"/>
              <w:jc w:val="left"/>
              <w:rPr>
                <w:sz w:val="22"/>
              </w:rPr>
            </w:pPr>
            <w:r>
              <w:rPr>
                <w:b/>
                <w:bCs/>
                <w:sz w:val="22"/>
              </w:rPr>
              <w:t xml:space="preserve">Aim: </w:t>
            </w:r>
            <w:r>
              <w:rPr>
                <w:sz w:val="22"/>
              </w:rPr>
              <w:t>Using data to inform groupings, teachers will teach reading, writing and maths to targeted children in smaller groups to help close gaps in learning.</w:t>
            </w:r>
          </w:p>
          <w:p w14:paraId="470C89D0" w14:textId="77777777" w:rsidR="009809D7" w:rsidRDefault="009809D7" w:rsidP="003746E5">
            <w:pPr>
              <w:pStyle w:val="TableRowCentered"/>
              <w:ind w:left="0"/>
              <w:jc w:val="left"/>
              <w:rPr>
                <w:b/>
                <w:bCs/>
                <w:sz w:val="22"/>
              </w:rPr>
            </w:pPr>
          </w:p>
          <w:p w14:paraId="7C38CCDD" w14:textId="77777777" w:rsidR="009809D7" w:rsidRPr="00373179" w:rsidRDefault="009809D7" w:rsidP="009809D7">
            <w:pPr>
              <w:pStyle w:val="TableRowCentered"/>
              <w:jc w:val="left"/>
              <w:rPr>
                <w:b/>
                <w:bCs/>
              </w:rPr>
            </w:pPr>
            <w:r w:rsidRPr="00373179">
              <w:rPr>
                <w:b/>
                <w:bCs/>
              </w:rPr>
              <w:t>Evidence:</w:t>
            </w:r>
          </w:p>
          <w:p w14:paraId="2A1843EE" w14:textId="77777777" w:rsidR="009809D7" w:rsidRDefault="00702E96" w:rsidP="009809D7">
            <w:pPr>
              <w:pStyle w:val="TableRowCentered"/>
              <w:jc w:val="left"/>
              <w:rPr>
                <w:rStyle w:val="Hyperlink"/>
                <w:rFonts w:cs="Arial"/>
                <w:iCs/>
              </w:rPr>
            </w:pPr>
            <w:hyperlink r:id="rId23" w:history="1">
              <w:r w:rsidR="009809D7">
                <w:rPr>
                  <w:rStyle w:val="Hyperlink"/>
                  <w:rFonts w:cs="Arial"/>
                  <w:iCs/>
                </w:rPr>
                <w:t>EEF- Improving Literacy in KS2</w:t>
              </w:r>
            </w:hyperlink>
            <w:r w:rsidR="009809D7">
              <w:rPr>
                <w:rStyle w:val="Hyperlink"/>
                <w:rFonts w:cs="Arial"/>
                <w:iCs/>
              </w:rPr>
              <w:t xml:space="preserve"> </w:t>
            </w:r>
          </w:p>
          <w:p w14:paraId="2BBD13E9" w14:textId="7FF2CEDC" w:rsidR="009809D7" w:rsidRDefault="009809D7" w:rsidP="009809D7">
            <w:pPr>
              <w:pStyle w:val="TableRowCentered"/>
              <w:ind w:left="0"/>
              <w:jc w:val="left"/>
              <w:rPr>
                <w:b/>
                <w:bCs/>
                <w:sz w:val="22"/>
              </w:rPr>
            </w:pPr>
            <w:r>
              <w:rPr>
                <w:sz w:val="22"/>
              </w:rPr>
              <w:t xml:space="preserve"> </w:t>
            </w:r>
            <w:hyperlink r:id="rId24" w:history="1">
              <w:r w:rsidRPr="00373179">
                <w:rPr>
                  <w:rStyle w:val="Hyperlink"/>
                  <w:sz w:val="22"/>
                </w:rPr>
                <w:t>EEF- Small group tuition</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996E" w14:textId="690B9556" w:rsidR="00294AB6" w:rsidRDefault="00074F52">
            <w:pPr>
              <w:pStyle w:val="TableRowCentered"/>
              <w:jc w:val="left"/>
              <w:rPr>
                <w:b/>
                <w:bCs/>
                <w:sz w:val="22"/>
              </w:rPr>
            </w:pPr>
            <w:r>
              <w:rPr>
                <w:b/>
                <w:bCs/>
                <w:sz w:val="22"/>
              </w:rPr>
              <w:lastRenderedPageBreak/>
              <w:t>1,2</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1D014BB6" w14:textId="77777777" w:rsidR="00702E96" w:rsidRDefault="00702E96" w:rsidP="00702E96">
      <w:pPr>
        <w:spacing w:before="240" w:after="120"/>
      </w:pPr>
      <w:r w:rsidRPr="00B114DC">
        <w:t>Budgeted cost: £84,651</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14:paraId="2A7D5537"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7BBBF68" w:rsidR="00E66558" w:rsidRPr="00E45B3A" w:rsidRDefault="007F1C82">
            <w:pPr>
              <w:pStyle w:val="TableRow"/>
              <w:rPr>
                <w:b/>
                <w:bCs/>
              </w:rPr>
            </w:pPr>
            <w:r w:rsidRPr="00E45B3A">
              <w:rPr>
                <w:b/>
                <w:bCs/>
                <w:iCs/>
                <w:sz w:val="22"/>
              </w:rPr>
              <w:t xml:space="preserve">EYFS and KS1 </w:t>
            </w:r>
            <w:r w:rsidR="00E45B3A">
              <w:rPr>
                <w:b/>
                <w:bCs/>
                <w:iCs/>
                <w:sz w:val="22"/>
              </w:rPr>
              <w:t xml:space="preserve">parent </w:t>
            </w:r>
            <w:r w:rsidRPr="00E45B3A">
              <w:rPr>
                <w:b/>
                <w:bCs/>
                <w:iCs/>
                <w:sz w:val="22"/>
              </w:rPr>
              <w:t>workshops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2602A" w14:textId="77777777" w:rsidR="00365153" w:rsidRDefault="00365153" w:rsidP="00365153">
            <w:pPr>
              <w:pStyle w:val="TableRowCentered"/>
              <w:jc w:val="left"/>
              <w:rPr>
                <w:sz w:val="22"/>
              </w:rPr>
            </w:pPr>
            <w:r w:rsidRPr="006966C2">
              <w:rPr>
                <w:b/>
                <w:bCs/>
                <w:sz w:val="22"/>
              </w:rPr>
              <w:t xml:space="preserve">Aim: </w:t>
            </w:r>
            <w:r>
              <w:rPr>
                <w:sz w:val="22"/>
              </w:rPr>
              <w:t xml:space="preserve">To engage parents early in their child’s education. To support and encourage parents with developing enrichment opportunities beyond school. To support parents with reading with their child and supporting them with vocabulary. </w:t>
            </w:r>
          </w:p>
          <w:p w14:paraId="14902432" w14:textId="77777777" w:rsidR="00365153" w:rsidRDefault="00365153" w:rsidP="00365153">
            <w:pPr>
              <w:pStyle w:val="TableRowCentered"/>
              <w:jc w:val="left"/>
              <w:rPr>
                <w:sz w:val="22"/>
              </w:rPr>
            </w:pPr>
          </w:p>
          <w:p w14:paraId="78C94C3B" w14:textId="77777777" w:rsidR="00365153" w:rsidRDefault="00365153" w:rsidP="00365153">
            <w:pPr>
              <w:pStyle w:val="TableRowCentered"/>
              <w:jc w:val="left"/>
              <w:rPr>
                <w:sz w:val="22"/>
              </w:rPr>
            </w:pPr>
            <w:r w:rsidRPr="006966C2">
              <w:rPr>
                <w:b/>
                <w:bCs/>
                <w:sz w:val="22"/>
              </w:rPr>
              <w:t xml:space="preserve">Evidence: </w:t>
            </w:r>
            <w:r>
              <w:rPr>
                <w:sz w:val="22"/>
              </w:rPr>
              <w:t xml:space="preserve">Discusses the value of parental engagement particularly in the early years. It is also consistently associated with children’s subsequent academic success. </w:t>
            </w:r>
          </w:p>
          <w:p w14:paraId="5D7E6ADE" w14:textId="77777777" w:rsidR="00365153" w:rsidRDefault="00365153" w:rsidP="00365153">
            <w:pPr>
              <w:pStyle w:val="TableRowCentered"/>
              <w:ind w:left="0"/>
              <w:jc w:val="left"/>
              <w:rPr>
                <w:sz w:val="22"/>
              </w:rPr>
            </w:pPr>
          </w:p>
          <w:p w14:paraId="2A7D5539" w14:textId="55D6B52B" w:rsidR="00E66558" w:rsidRDefault="00702E96" w:rsidP="00365153">
            <w:pPr>
              <w:pStyle w:val="TableRowCentered"/>
              <w:jc w:val="left"/>
              <w:rPr>
                <w:sz w:val="22"/>
              </w:rPr>
            </w:pPr>
            <w:hyperlink r:id="rId25" w:history="1">
              <w:r w:rsidR="00365153" w:rsidRPr="00A50569">
                <w:rPr>
                  <w:rStyle w:val="Hyperlink"/>
                  <w:sz w:val="22"/>
                </w:rPr>
                <w:t>EEF Toolkit: parental engagement.</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C359C4C" w:rsidR="00E66558" w:rsidRPr="00E45B3A" w:rsidRDefault="003A65F8">
            <w:pPr>
              <w:pStyle w:val="TableRowCentered"/>
              <w:jc w:val="left"/>
              <w:rPr>
                <w:b/>
                <w:bCs/>
                <w:sz w:val="22"/>
              </w:rPr>
            </w:pPr>
            <w:r w:rsidRPr="00E45B3A">
              <w:rPr>
                <w:b/>
                <w:bCs/>
                <w:sz w:val="22"/>
              </w:rPr>
              <w:t>5</w:t>
            </w:r>
          </w:p>
        </w:tc>
      </w:tr>
      <w:tr w:rsidR="00E66558" w14:paraId="2A7D553F"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883B5" w14:textId="77777777" w:rsidR="00365153" w:rsidRPr="00E45B3A" w:rsidRDefault="00365153" w:rsidP="00365153">
            <w:pPr>
              <w:pStyle w:val="TableRow"/>
              <w:rPr>
                <w:rFonts w:eastAsia="MS Mincho"/>
                <w:b/>
                <w:bCs/>
                <w:sz w:val="22"/>
                <w:szCs w:val="22"/>
              </w:rPr>
            </w:pPr>
            <w:r w:rsidRPr="00E45B3A">
              <w:rPr>
                <w:rFonts w:eastAsia="MS Mincho"/>
                <w:b/>
                <w:bCs/>
                <w:sz w:val="22"/>
                <w:szCs w:val="22"/>
              </w:rPr>
              <w:t xml:space="preserve">For HSLW team to work with families to support financial, safeguarding and emotional concerns. </w:t>
            </w:r>
          </w:p>
          <w:p w14:paraId="2A7D553C" w14:textId="1AFF08D7" w:rsidR="00365153" w:rsidRPr="007F1C82" w:rsidRDefault="00365153">
            <w:pPr>
              <w:pStyle w:val="TableRow"/>
              <w:rPr>
                <w:iCs/>
                <w:sz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26287" w14:textId="77777777" w:rsidR="00365153" w:rsidRPr="00121FD4" w:rsidRDefault="00365153" w:rsidP="00365153">
            <w:pPr>
              <w:pStyle w:val="TableRowCentered"/>
              <w:jc w:val="left"/>
              <w:rPr>
                <w:sz w:val="22"/>
              </w:rPr>
            </w:pPr>
            <w:r w:rsidRPr="00121FD4">
              <w:rPr>
                <w:b/>
                <w:bCs/>
                <w:sz w:val="22"/>
              </w:rPr>
              <w:t xml:space="preserve">Aim: </w:t>
            </w:r>
            <w:r w:rsidRPr="00121FD4">
              <w:rPr>
                <w:sz w:val="22"/>
              </w:rPr>
              <w:t>To prevent families from reaching crisis point by providing meetings</w:t>
            </w:r>
            <w:r>
              <w:rPr>
                <w:sz w:val="22"/>
              </w:rPr>
              <w:t>,</w:t>
            </w:r>
            <w:r w:rsidRPr="00121FD4">
              <w:rPr>
                <w:sz w:val="22"/>
              </w:rPr>
              <w:t xml:space="preserve"> </w:t>
            </w:r>
            <w:r>
              <w:rPr>
                <w:sz w:val="22"/>
              </w:rPr>
              <w:t xml:space="preserve">practical </w:t>
            </w:r>
            <w:r w:rsidRPr="00121FD4">
              <w:rPr>
                <w:sz w:val="22"/>
              </w:rPr>
              <w:t>advice</w:t>
            </w:r>
            <w:r>
              <w:rPr>
                <w:sz w:val="22"/>
              </w:rPr>
              <w:t xml:space="preserve"> and working with external agencies to provide support</w:t>
            </w:r>
            <w:r w:rsidRPr="00121FD4">
              <w:rPr>
                <w:sz w:val="22"/>
              </w:rPr>
              <w:t xml:space="preserve">. </w:t>
            </w:r>
            <w:r>
              <w:rPr>
                <w:sz w:val="22"/>
              </w:rPr>
              <w:t xml:space="preserve">To mentor individual children who are struggling emotionally. </w:t>
            </w:r>
          </w:p>
          <w:p w14:paraId="164A915D" w14:textId="77777777" w:rsidR="00365153" w:rsidRPr="00121FD4" w:rsidRDefault="00365153" w:rsidP="00365153">
            <w:pPr>
              <w:pStyle w:val="TableRowCentered"/>
              <w:ind w:left="0"/>
              <w:jc w:val="left"/>
              <w:rPr>
                <w:b/>
                <w:bCs/>
                <w:sz w:val="22"/>
              </w:rPr>
            </w:pPr>
          </w:p>
          <w:p w14:paraId="45B758BA" w14:textId="77777777" w:rsidR="00365153" w:rsidRDefault="00365153" w:rsidP="00365153">
            <w:pPr>
              <w:pStyle w:val="TableRowCentered"/>
              <w:jc w:val="left"/>
              <w:rPr>
                <w:sz w:val="22"/>
              </w:rPr>
            </w:pPr>
            <w:r w:rsidRPr="00121FD4">
              <w:rPr>
                <w:b/>
                <w:bCs/>
                <w:sz w:val="22"/>
              </w:rPr>
              <w:t xml:space="preserve">Evidence: </w:t>
            </w:r>
            <w:r w:rsidRPr="00E83157">
              <w:rPr>
                <w:sz w:val="22"/>
              </w:rPr>
              <w:t xml:space="preserve">Offering more sustained and targeted support </w:t>
            </w:r>
          </w:p>
          <w:p w14:paraId="25D3BD66" w14:textId="77777777" w:rsidR="00365153" w:rsidRDefault="00365153" w:rsidP="00365153">
            <w:pPr>
              <w:pStyle w:val="TableRowCentered"/>
              <w:jc w:val="left"/>
              <w:rPr>
                <w:sz w:val="22"/>
              </w:rPr>
            </w:pPr>
            <w:r>
              <w:rPr>
                <w:sz w:val="22"/>
              </w:rPr>
              <w:t xml:space="preserve">Building trusting relationships and providing face-to-face meetings or levels of support can support effective parental engagement and develop relationships with school. </w:t>
            </w:r>
          </w:p>
          <w:p w14:paraId="4715C620" w14:textId="77777777" w:rsidR="00365153" w:rsidRDefault="00365153" w:rsidP="00365153">
            <w:pPr>
              <w:pStyle w:val="TableRowCentered"/>
              <w:ind w:left="0"/>
              <w:jc w:val="left"/>
              <w:rPr>
                <w:sz w:val="22"/>
              </w:rPr>
            </w:pPr>
          </w:p>
          <w:p w14:paraId="295E8BD3" w14:textId="77777777" w:rsidR="00365153" w:rsidRPr="00E83157" w:rsidRDefault="00702E96" w:rsidP="00365153">
            <w:pPr>
              <w:pStyle w:val="TableRowCentered"/>
              <w:jc w:val="left"/>
              <w:rPr>
                <w:sz w:val="22"/>
              </w:rPr>
            </w:pPr>
            <w:hyperlink r:id="rId26" w:history="1">
              <w:r w:rsidR="00365153" w:rsidRPr="00834DC7">
                <w:rPr>
                  <w:rStyle w:val="Hyperlink"/>
                  <w:sz w:val="22"/>
                </w:rPr>
                <w:t>EEF Toolkit: supporting parents.</w:t>
              </w:r>
            </w:hyperlink>
            <w:r w:rsidR="00365153">
              <w:rPr>
                <w:sz w:val="22"/>
              </w:rPr>
              <w:t xml:space="preserve"> </w:t>
            </w:r>
          </w:p>
          <w:p w14:paraId="2A7D553D" w14:textId="77777777" w:rsidR="00E66558" w:rsidRDefault="00E6655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88E6EA4" w:rsidR="00E66558" w:rsidRPr="00E45B3A" w:rsidRDefault="003A65F8">
            <w:pPr>
              <w:pStyle w:val="TableRowCentered"/>
              <w:jc w:val="left"/>
              <w:rPr>
                <w:b/>
                <w:bCs/>
                <w:sz w:val="22"/>
              </w:rPr>
            </w:pPr>
            <w:r w:rsidRPr="00E45B3A">
              <w:rPr>
                <w:b/>
                <w:bCs/>
                <w:sz w:val="22"/>
              </w:rPr>
              <w:t>1,4,5</w:t>
            </w:r>
          </w:p>
        </w:tc>
      </w:tr>
      <w:tr w:rsidR="00A778E2" w14:paraId="1CA5711D"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D1ED4" w14:textId="3B57C2DD" w:rsidR="00A778E2" w:rsidRPr="00E45B3A" w:rsidRDefault="00710B77" w:rsidP="00365153">
            <w:pPr>
              <w:pStyle w:val="TableRow"/>
              <w:rPr>
                <w:rFonts w:eastAsia="MS Mincho"/>
                <w:b/>
                <w:bCs/>
                <w:sz w:val="22"/>
                <w:szCs w:val="22"/>
              </w:rPr>
            </w:pPr>
            <w:r>
              <w:rPr>
                <w:rFonts w:eastAsia="MS Mincho"/>
                <w:b/>
                <w:bCs/>
                <w:sz w:val="22"/>
                <w:szCs w:val="22"/>
              </w:rPr>
              <w:t>Becoming a mental health placement school</w:t>
            </w:r>
            <w:r w:rsidR="00E2342D">
              <w:rPr>
                <w:rFonts w:eastAsia="MS Mincho"/>
                <w:b/>
                <w:bCs/>
                <w:sz w:val="22"/>
                <w:szCs w:val="22"/>
              </w:rPr>
              <w:t xml:space="preserve"> working with a mental health support team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38554" w14:textId="7F9EE7B7" w:rsidR="00A778E2" w:rsidRDefault="00710B77" w:rsidP="00365153">
            <w:pPr>
              <w:pStyle w:val="TableRowCentered"/>
              <w:jc w:val="left"/>
              <w:rPr>
                <w:sz w:val="22"/>
              </w:rPr>
            </w:pPr>
            <w:r>
              <w:rPr>
                <w:b/>
                <w:bCs/>
                <w:sz w:val="22"/>
              </w:rPr>
              <w:t xml:space="preserve">Aim- </w:t>
            </w:r>
            <w:r>
              <w:rPr>
                <w:sz w:val="22"/>
              </w:rPr>
              <w:t>To raise the understanding and profile of mental health. Through becoming a placement school we will improve the provision we can provide and train staff to support our children in developing and maintaining good mental health.</w:t>
            </w:r>
          </w:p>
          <w:p w14:paraId="0E2C4F98" w14:textId="54F6344A" w:rsidR="00710B77" w:rsidRDefault="00710B77" w:rsidP="00365153">
            <w:pPr>
              <w:pStyle w:val="TableRowCentered"/>
              <w:jc w:val="left"/>
              <w:rPr>
                <w:sz w:val="22"/>
              </w:rPr>
            </w:pPr>
          </w:p>
          <w:p w14:paraId="15CB26B4" w14:textId="77777777" w:rsidR="00E2342D" w:rsidRDefault="00710B77" w:rsidP="00365153">
            <w:pPr>
              <w:pStyle w:val="TableRowCentered"/>
              <w:jc w:val="left"/>
              <w:rPr>
                <w:b/>
                <w:bCs/>
                <w:sz w:val="22"/>
              </w:rPr>
            </w:pPr>
            <w:r w:rsidRPr="00E2342D">
              <w:rPr>
                <w:b/>
                <w:bCs/>
                <w:sz w:val="22"/>
              </w:rPr>
              <w:t>Evidence-</w:t>
            </w:r>
          </w:p>
          <w:p w14:paraId="0440CBF6" w14:textId="2E0B5571" w:rsidR="00710B77" w:rsidRPr="00710B77" w:rsidRDefault="00702E96" w:rsidP="00365153">
            <w:pPr>
              <w:pStyle w:val="TableRowCentered"/>
              <w:jc w:val="left"/>
              <w:rPr>
                <w:b/>
                <w:bCs/>
                <w:sz w:val="22"/>
              </w:rPr>
            </w:pPr>
            <w:hyperlink r:id="rId27" w:history="1">
              <w:r w:rsidR="00E2342D" w:rsidRPr="005674BF">
                <w:rPr>
                  <w:rStyle w:val="Hyperlink"/>
                  <w:b/>
                  <w:bCs/>
                  <w:sz w:val="22"/>
                </w:rPr>
                <w:t>https://www.england.nhs.uk/mental-health/cyp/trailblazers/</w:t>
              </w:r>
            </w:hyperlink>
          </w:p>
          <w:p w14:paraId="3C6474E5" w14:textId="50377B56" w:rsidR="00710B77" w:rsidRPr="00710B77" w:rsidRDefault="00710B77" w:rsidP="00365153">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52C6" w14:textId="30DB74E6" w:rsidR="00A778E2" w:rsidRPr="00E45B3A" w:rsidRDefault="00E2342D">
            <w:pPr>
              <w:pStyle w:val="TableRowCentered"/>
              <w:jc w:val="left"/>
              <w:rPr>
                <w:b/>
                <w:bCs/>
                <w:sz w:val="22"/>
              </w:rPr>
            </w:pPr>
            <w:r>
              <w:rPr>
                <w:b/>
                <w:bCs/>
                <w:sz w:val="22"/>
              </w:rPr>
              <w:t>5</w:t>
            </w:r>
          </w:p>
        </w:tc>
      </w:tr>
      <w:tr w:rsidR="007F1C82" w14:paraId="2FBF916A"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5884" w14:textId="52F95F3A" w:rsidR="007F1C82" w:rsidRPr="005B3524" w:rsidRDefault="007F1C82">
            <w:pPr>
              <w:pStyle w:val="TableRow"/>
              <w:rPr>
                <w:b/>
                <w:bCs/>
                <w:iCs/>
                <w:sz w:val="22"/>
              </w:rPr>
            </w:pPr>
            <w:r w:rsidRPr="00EF7457">
              <w:rPr>
                <w:b/>
                <w:bCs/>
                <w:iCs/>
                <w:sz w:val="22"/>
              </w:rPr>
              <w:lastRenderedPageBreak/>
              <w:t>Attendance meetings</w:t>
            </w:r>
            <w:r w:rsidR="005B3524" w:rsidRPr="00EF7457">
              <w:rPr>
                <w:b/>
                <w:bCs/>
                <w:iCs/>
                <w:sz w:val="22"/>
              </w:rPr>
              <w:t xml:space="preserve"> </w:t>
            </w:r>
            <w:r w:rsidR="00EF7457" w:rsidRPr="00EF7457">
              <w:rPr>
                <w:b/>
                <w:bCs/>
                <w:iCs/>
                <w:sz w:val="22"/>
              </w:rPr>
              <w:t xml:space="preserve">with the attendance team </w:t>
            </w:r>
            <w:r w:rsidR="005B3524" w:rsidRPr="00EF7457">
              <w:rPr>
                <w:b/>
                <w:bCs/>
                <w:iCs/>
                <w:sz w:val="22"/>
              </w:rPr>
              <w:t>take place eve</w:t>
            </w:r>
            <w:r w:rsidR="00EF7457" w:rsidRPr="00EF7457">
              <w:rPr>
                <w:b/>
                <w:bCs/>
                <w:iCs/>
                <w:sz w:val="22"/>
              </w:rPr>
              <w:t>ry week</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57742" w14:textId="07E3A6EB" w:rsidR="00902424" w:rsidRPr="00EF7457" w:rsidRDefault="00902424" w:rsidP="00902424">
            <w:pPr>
              <w:pStyle w:val="TableRowCentered"/>
              <w:ind w:left="0"/>
              <w:jc w:val="left"/>
              <w:rPr>
                <w:sz w:val="22"/>
              </w:rPr>
            </w:pPr>
            <w:r w:rsidRPr="00EF7457">
              <w:rPr>
                <w:b/>
                <w:bCs/>
                <w:sz w:val="22"/>
              </w:rPr>
              <w:t xml:space="preserve">Aim: </w:t>
            </w:r>
            <w:r w:rsidR="00EF7457" w:rsidRPr="00EF7457">
              <w:rPr>
                <w:sz w:val="22"/>
              </w:rPr>
              <w:t>To improve attendance and punctuality across the school.</w:t>
            </w:r>
            <w:r w:rsidR="00EF7457" w:rsidRPr="00EF7457">
              <w:rPr>
                <w:b/>
                <w:bCs/>
                <w:sz w:val="22"/>
              </w:rPr>
              <w:t xml:space="preserve"> </w:t>
            </w:r>
            <w:r w:rsidRPr="00EF7457">
              <w:rPr>
                <w:sz w:val="22"/>
              </w:rPr>
              <w:t xml:space="preserve">For attendance team to work with IWO to monitor and track persistent absences. To </w:t>
            </w:r>
            <w:r w:rsidR="00EF7457" w:rsidRPr="00EF7457">
              <w:rPr>
                <w:sz w:val="22"/>
              </w:rPr>
              <w:t xml:space="preserve">communicate with parents regularly regarding punctuality and attendance. </w:t>
            </w:r>
          </w:p>
          <w:p w14:paraId="0C7CDFF1" w14:textId="77777777" w:rsidR="00902424" w:rsidRPr="00EF7457" w:rsidRDefault="00902424" w:rsidP="00902424">
            <w:pPr>
              <w:pStyle w:val="TableRowCentered"/>
              <w:ind w:left="0"/>
              <w:jc w:val="left"/>
              <w:rPr>
                <w:b/>
                <w:bCs/>
                <w:sz w:val="22"/>
              </w:rPr>
            </w:pPr>
          </w:p>
          <w:p w14:paraId="2DA7E689" w14:textId="77777777" w:rsidR="00902424" w:rsidRPr="00E11139" w:rsidRDefault="00902424" w:rsidP="00902424">
            <w:pPr>
              <w:pStyle w:val="TableRowCentered"/>
              <w:ind w:left="0"/>
              <w:jc w:val="left"/>
              <w:rPr>
                <w:sz w:val="22"/>
              </w:rPr>
            </w:pPr>
            <w:r w:rsidRPr="00EF7457">
              <w:rPr>
                <w:b/>
                <w:bCs/>
                <w:sz w:val="22"/>
              </w:rPr>
              <w:t xml:space="preserve">Evidence: </w:t>
            </w:r>
            <w:r w:rsidRPr="00EF7457">
              <w:rPr>
                <w:sz w:val="22"/>
              </w:rPr>
              <w:t>The IWO is able to use research driven interventions to support school staff and children. They are also able to liaise with other local services to gain appropriate advice and provision.</w:t>
            </w:r>
            <w:r>
              <w:rPr>
                <w:sz w:val="22"/>
              </w:rPr>
              <w:t xml:space="preserve"> </w:t>
            </w:r>
          </w:p>
          <w:p w14:paraId="5CAC40A0" w14:textId="77777777" w:rsidR="00902424" w:rsidRDefault="00902424">
            <w:pPr>
              <w:pStyle w:val="TableRowCentered"/>
              <w:jc w:val="left"/>
              <w:rPr>
                <w:b/>
                <w:bCs/>
                <w:sz w:val="22"/>
              </w:rPr>
            </w:pPr>
          </w:p>
          <w:p w14:paraId="119680E5" w14:textId="77777777" w:rsidR="007F1C82" w:rsidRPr="002F017F" w:rsidRDefault="00365153">
            <w:pPr>
              <w:pStyle w:val="TableRowCentered"/>
              <w:jc w:val="left"/>
              <w:rPr>
                <w:rStyle w:val="Hyperlink"/>
                <w:sz w:val="22"/>
              </w:rPr>
            </w:pPr>
            <w:r w:rsidRPr="00365153">
              <w:rPr>
                <w:b/>
                <w:bCs/>
                <w:sz w:val="22"/>
              </w:rPr>
              <w:t>Evidence-</w:t>
            </w:r>
            <w:hyperlink r:id="rId28" w:history="1">
              <w:r w:rsidRPr="002F017F">
                <w:rPr>
                  <w:rStyle w:val="Hyperlink"/>
                  <w:sz w:val="22"/>
                </w:rPr>
                <w:t>EEF- attendance interventions</w:t>
              </w:r>
            </w:hyperlink>
          </w:p>
          <w:p w14:paraId="1639B30C" w14:textId="2E33BAEA" w:rsidR="002F017F" w:rsidRPr="00365153" w:rsidRDefault="002F017F">
            <w:pPr>
              <w:pStyle w:val="TableRowCentered"/>
              <w:jc w:val="left"/>
              <w:rPr>
                <w:b/>
                <w:bCs/>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686D6" w14:textId="1D6979B4" w:rsidR="007F1C82" w:rsidRPr="00A778E2" w:rsidRDefault="003A65F8" w:rsidP="003A65F8">
            <w:pPr>
              <w:pStyle w:val="TableRowCentered"/>
              <w:ind w:left="0"/>
              <w:jc w:val="left"/>
              <w:rPr>
                <w:b/>
                <w:bCs/>
                <w:sz w:val="22"/>
              </w:rPr>
            </w:pPr>
            <w:r w:rsidRPr="00A778E2">
              <w:rPr>
                <w:b/>
                <w:bCs/>
                <w:sz w:val="22"/>
              </w:rPr>
              <w:t>4</w:t>
            </w:r>
          </w:p>
        </w:tc>
      </w:tr>
      <w:tr w:rsidR="002F017F" w14:paraId="5107EECE" w14:textId="77777777" w:rsidTr="00B742E9">
        <w:trPr>
          <w:trHeight w:val="4468"/>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5618C0" w14:textId="45082D9B" w:rsidR="002F017F" w:rsidRPr="00A778E2" w:rsidRDefault="002F017F">
            <w:pPr>
              <w:pStyle w:val="TableRow"/>
              <w:rPr>
                <w:b/>
                <w:bCs/>
                <w:iCs/>
                <w:sz w:val="22"/>
              </w:rPr>
            </w:pPr>
            <w:r w:rsidRPr="00A778E2">
              <w:rPr>
                <w:b/>
                <w:bCs/>
                <w:iCs/>
                <w:sz w:val="22"/>
              </w:rPr>
              <w:t>Workshops and online resources increase communication to improve parental engagement</w:t>
            </w:r>
          </w:p>
          <w:p w14:paraId="65CA655A" w14:textId="77777777" w:rsidR="002F017F" w:rsidRPr="00A778E2" w:rsidRDefault="002F017F">
            <w:pPr>
              <w:pStyle w:val="TableRow"/>
              <w:rPr>
                <w:b/>
                <w:bCs/>
                <w:iCs/>
                <w:sz w:val="22"/>
              </w:rPr>
            </w:pPr>
          </w:p>
          <w:p w14:paraId="07005917" w14:textId="77777777" w:rsidR="002F017F" w:rsidRPr="00A778E2" w:rsidRDefault="002F017F" w:rsidP="002F017F">
            <w:pPr>
              <w:pStyle w:val="TableRow"/>
              <w:rPr>
                <w:rFonts w:eastAsia="MS Mincho"/>
                <w:b/>
                <w:bCs/>
                <w:sz w:val="22"/>
                <w:szCs w:val="28"/>
              </w:rPr>
            </w:pPr>
            <w:r w:rsidRPr="00A778E2">
              <w:rPr>
                <w:rFonts w:eastAsia="MS Mincho"/>
                <w:b/>
                <w:bCs/>
                <w:sz w:val="22"/>
                <w:szCs w:val="28"/>
              </w:rPr>
              <w:t xml:space="preserve">To use Studybugs to monitor reasons for attendance. </w:t>
            </w:r>
          </w:p>
          <w:p w14:paraId="33668AF1" w14:textId="77777777" w:rsidR="002F017F" w:rsidRPr="00A778E2" w:rsidRDefault="002F017F" w:rsidP="002F017F">
            <w:pPr>
              <w:pStyle w:val="TableRow"/>
              <w:rPr>
                <w:rFonts w:eastAsia="MS Mincho"/>
                <w:b/>
                <w:bCs/>
                <w:sz w:val="22"/>
                <w:szCs w:val="28"/>
              </w:rPr>
            </w:pPr>
          </w:p>
          <w:p w14:paraId="7FED133E" w14:textId="77777777" w:rsidR="002F017F" w:rsidRPr="00A778E2" w:rsidRDefault="002F017F" w:rsidP="002F017F">
            <w:pPr>
              <w:pStyle w:val="TableRow"/>
              <w:rPr>
                <w:rFonts w:eastAsia="MS Mincho"/>
                <w:b/>
                <w:bCs/>
                <w:sz w:val="22"/>
                <w:szCs w:val="28"/>
              </w:rPr>
            </w:pPr>
            <w:r w:rsidRPr="00A778E2">
              <w:rPr>
                <w:rFonts w:eastAsia="MS Mincho"/>
                <w:b/>
                <w:bCs/>
                <w:sz w:val="22"/>
                <w:szCs w:val="28"/>
              </w:rPr>
              <w:t xml:space="preserve">To use Parentmail as a tool to communicate with families and engage them in school life. </w:t>
            </w:r>
          </w:p>
          <w:p w14:paraId="0E23CEAC" w14:textId="52DF1AF3" w:rsidR="002F017F" w:rsidRDefault="002F017F" w:rsidP="00EA7CC6">
            <w:pPr>
              <w:pStyle w:val="TableRow"/>
              <w:rPr>
                <w:iCs/>
                <w:sz w:val="22"/>
              </w:rPr>
            </w:pPr>
          </w:p>
        </w:tc>
        <w:tc>
          <w:tcPr>
            <w:tcW w:w="524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CEF9AE" w14:textId="4DF8F8C9" w:rsidR="002F017F" w:rsidRDefault="002F017F" w:rsidP="00365153">
            <w:pPr>
              <w:pStyle w:val="TableRowCentered"/>
              <w:ind w:left="0"/>
              <w:jc w:val="left"/>
              <w:rPr>
                <w:sz w:val="22"/>
              </w:rPr>
            </w:pPr>
            <w:r>
              <w:rPr>
                <w:b/>
                <w:bCs/>
                <w:sz w:val="22"/>
              </w:rPr>
              <w:t xml:space="preserve"> Aim: </w:t>
            </w:r>
            <w:r w:rsidRPr="0006583E">
              <w:rPr>
                <w:sz w:val="22"/>
              </w:rPr>
              <w:t xml:space="preserve">Parents will </w:t>
            </w:r>
            <w:r>
              <w:rPr>
                <w:sz w:val="22"/>
              </w:rPr>
              <w:t xml:space="preserve">have increased awareness of school activities and learning which is easier to access. Parents will be more engaged in their child’s learning ensuring that the gap does not widen. </w:t>
            </w:r>
          </w:p>
          <w:p w14:paraId="344D5A55" w14:textId="77777777" w:rsidR="002F017F" w:rsidRDefault="002F017F" w:rsidP="00365153">
            <w:pPr>
              <w:pStyle w:val="TableRowCentered"/>
              <w:ind w:left="0"/>
              <w:jc w:val="left"/>
              <w:rPr>
                <w:sz w:val="22"/>
              </w:rPr>
            </w:pPr>
          </w:p>
          <w:p w14:paraId="168F4BB8" w14:textId="77777777" w:rsidR="002F017F" w:rsidRDefault="002F017F" w:rsidP="00365153">
            <w:pPr>
              <w:pStyle w:val="TableRowCentered"/>
              <w:ind w:left="0"/>
              <w:jc w:val="left"/>
              <w:rPr>
                <w:sz w:val="22"/>
              </w:rPr>
            </w:pPr>
            <w:r w:rsidRPr="008528EE">
              <w:rPr>
                <w:b/>
                <w:bCs/>
                <w:sz w:val="22"/>
              </w:rPr>
              <w:t xml:space="preserve">Evidence: </w:t>
            </w:r>
            <w:r w:rsidRPr="00900540">
              <w:rPr>
                <w:sz w:val="22"/>
              </w:rPr>
              <w:t>Parental engagement can be effective when it is carefully thought about and targeted</w:t>
            </w:r>
            <w:r>
              <w:rPr>
                <w:sz w:val="22"/>
              </w:rPr>
              <w:t xml:space="preserve"> and are considered to be more effective at primary schools. Using accessible means of communication can support engagement. </w:t>
            </w:r>
          </w:p>
          <w:p w14:paraId="12588758" w14:textId="77777777" w:rsidR="002F017F" w:rsidRDefault="002F017F" w:rsidP="00365153">
            <w:pPr>
              <w:pStyle w:val="TableRowCentered"/>
              <w:ind w:left="0"/>
              <w:jc w:val="left"/>
              <w:rPr>
                <w:sz w:val="22"/>
              </w:rPr>
            </w:pPr>
          </w:p>
          <w:p w14:paraId="3D2C6F61" w14:textId="694D08F8" w:rsidR="002F017F" w:rsidRDefault="00702E96" w:rsidP="00365153">
            <w:pPr>
              <w:pStyle w:val="TableRowCentered"/>
              <w:jc w:val="left"/>
              <w:rPr>
                <w:sz w:val="22"/>
              </w:rPr>
            </w:pPr>
            <w:hyperlink r:id="rId29" w:history="1">
              <w:r w:rsidR="002F017F" w:rsidRPr="00834DC7">
                <w:rPr>
                  <w:rStyle w:val="Hyperlink"/>
                  <w:sz w:val="22"/>
                </w:rPr>
                <w:t>EEF Toolkit: parental engagement.</w:t>
              </w:r>
            </w:hyperlink>
          </w:p>
          <w:p w14:paraId="0EBC51B0" w14:textId="471796E2" w:rsidR="002F017F" w:rsidRPr="000568A1" w:rsidRDefault="002F017F">
            <w:pPr>
              <w:pStyle w:val="TableRowCentered"/>
              <w:jc w:val="left"/>
              <w:rPr>
                <w:b/>
                <w:bCs/>
                <w:sz w:val="22"/>
              </w:rPr>
            </w:pPr>
          </w:p>
        </w:tc>
        <w:tc>
          <w:tcPr>
            <w:tcW w:w="155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9969611" w14:textId="4A61FDC2" w:rsidR="002F017F" w:rsidRPr="00A778E2" w:rsidRDefault="003A65F8">
            <w:pPr>
              <w:pStyle w:val="TableRowCentered"/>
              <w:jc w:val="left"/>
              <w:rPr>
                <w:b/>
                <w:bCs/>
                <w:sz w:val="22"/>
              </w:rPr>
            </w:pPr>
            <w:r w:rsidRPr="00A778E2">
              <w:rPr>
                <w:b/>
                <w:bCs/>
                <w:sz w:val="22"/>
              </w:rPr>
              <w:t>4, 5, 6</w:t>
            </w:r>
          </w:p>
        </w:tc>
      </w:tr>
      <w:tr w:rsidR="007F1C82" w14:paraId="32E94C49"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095D6" w14:textId="378C6BE3" w:rsidR="007F1C82" w:rsidRPr="00A778E2" w:rsidRDefault="00A778E2">
            <w:pPr>
              <w:pStyle w:val="TableRow"/>
              <w:rPr>
                <w:b/>
                <w:bCs/>
                <w:iCs/>
                <w:sz w:val="22"/>
              </w:rPr>
            </w:pPr>
            <w:r w:rsidRPr="00A778E2">
              <w:rPr>
                <w:b/>
                <w:bCs/>
                <w:iCs/>
                <w:sz w:val="22"/>
              </w:rPr>
              <w:t>Breakfast club to provide creative opportunities and enrichment activities</w:t>
            </w:r>
            <w:r w:rsidR="00DD63E4" w:rsidRPr="00A778E2">
              <w:rPr>
                <w:b/>
                <w:bCs/>
                <w:iCs/>
                <w:sz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25BA" w14:textId="77777777" w:rsidR="00902424" w:rsidRPr="00C74840" w:rsidRDefault="00902424" w:rsidP="00902424">
            <w:pPr>
              <w:pStyle w:val="TableRowCentered"/>
              <w:jc w:val="left"/>
              <w:rPr>
                <w:sz w:val="22"/>
                <w:szCs w:val="22"/>
              </w:rPr>
            </w:pPr>
            <w:r w:rsidRPr="00C74840">
              <w:rPr>
                <w:b/>
                <w:bCs/>
                <w:sz w:val="22"/>
                <w:szCs w:val="22"/>
              </w:rPr>
              <w:t xml:space="preserve">Aim: </w:t>
            </w:r>
            <w:r w:rsidRPr="00C74840">
              <w:rPr>
                <w:sz w:val="22"/>
                <w:szCs w:val="22"/>
              </w:rPr>
              <w:t xml:space="preserve">To provide a positive and inviting start to the day where children have the opportunity to receive a free breakfast and participate in engaging activities to further their learning and creativity opportunities. </w:t>
            </w:r>
          </w:p>
          <w:p w14:paraId="5E214562" w14:textId="77777777" w:rsidR="00902424" w:rsidRDefault="00902424" w:rsidP="00902424">
            <w:pPr>
              <w:pStyle w:val="TableRowCentered"/>
              <w:ind w:left="0"/>
              <w:jc w:val="left"/>
              <w:rPr>
                <w:b/>
                <w:bCs/>
                <w:sz w:val="22"/>
                <w:szCs w:val="22"/>
              </w:rPr>
            </w:pPr>
          </w:p>
          <w:p w14:paraId="3D6FA142" w14:textId="77777777" w:rsidR="00902424" w:rsidRDefault="00902424" w:rsidP="00902424">
            <w:pPr>
              <w:pStyle w:val="TableRowCentered"/>
              <w:ind w:left="0"/>
              <w:jc w:val="left"/>
              <w:rPr>
                <w:sz w:val="22"/>
                <w:szCs w:val="22"/>
              </w:rPr>
            </w:pPr>
            <w:r w:rsidRPr="00C74840">
              <w:rPr>
                <w:b/>
                <w:bCs/>
                <w:sz w:val="22"/>
                <w:szCs w:val="22"/>
              </w:rPr>
              <w:t xml:space="preserve">Evidence: </w:t>
            </w:r>
            <w:r w:rsidRPr="00C74840">
              <w:rPr>
                <w:sz w:val="22"/>
                <w:szCs w:val="22"/>
              </w:rPr>
              <w:t xml:space="preserve">EEF reports benefits particularly for KS1 pupils who attend breakfast club including those who don’t eat breakfast. EEF also reports increased pupil behaviour. </w:t>
            </w:r>
          </w:p>
          <w:p w14:paraId="7E8A46F3" w14:textId="77777777" w:rsidR="00902424" w:rsidRDefault="00902424" w:rsidP="00902424">
            <w:pPr>
              <w:pStyle w:val="TableRowCentered"/>
              <w:ind w:left="0"/>
              <w:jc w:val="left"/>
              <w:rPr>
                <w:sz w:val="22"/>
                <w:szCs w:val="22"/>
              </w:rPr>
            </w:pPr>
          </w:p>
          <w:p w14:paraId="19D0E0A6" w14:textId="77777777" w:rsidR="00902424" w:rsidRDefault="00702E96" w:rsidP="00902424">
            <w:pPr>
              <w:pStyle w:val="TableRowCentered"/>
              <w:ind w:left="0"/>
              <w:jc w:val="left"/>
              <w:rPr>
                <w:sz w:val="22"/>
                <w:szCs w:val="22"/>
              </w:rPr>
            </w:pPr>
            <w:hyperlink r:id="rId30" w:history="1">
              <w:r w:rsidR="00902424" w:rsidRPr="00834DC7">
                <w:rPr>
                  <w:rStyle w:val="Hyperlink"/>
                  <w:sz w:val="22"/>
                  <w:szCs w:val="22"/>
                </w:rPr>
                <w:t>EEF Toolkit: Breakfast Club programme</w:t>
              </w:r>
            </w:hyperlink>
            <w:r w:rsidR="00902424">
              <w:rPr>
                <w:sz w:val="22"/>
                <w:szCs w:val="22"/>
              </w:rPr>
              <w:t xml:space="preserve"> </w:t>
            </w:r>
          </w:p>
          <w:p w14:paraId="465131E5" w14:textId="77777777" w:rsidR="007F1C82" w:rsidRDefault="007F1C82">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40179" w14:textId="271865B9" w:rsidR="007F1C82" w:rsidRPr="00A778E2" w:rsidRDefault="003A65F8">
            <w:pPr>
              <w:pStyle w:val="TableRowCentered"/>
              <w:jc w:val="left"/>
              <w:rPr>
                <w:b/>
                <w:bCs/>
                <w:sz w:val="22"/>
              </w:rPr>
            </w:pPr>
            <w:r w:rsidRPr="00A778E2">
              <w:rPr>
                <w:b/>
                <w:bCs/>
                <w:sz w:val="22"/>
              </w:rPr>
              <w:t>1, 4, 6</w:t>
            </w:r>
          </w:p>
        </w:tc>
      </w:tr>
      <w:tr w:rsidR="00902424" w14:paraId="09113F42"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8E6F" w14:textId="463A5676" w:rsidR="00902424" w:rsidRPr="00A778E2" w:rsidRDefault="00A778E2">
            <w:pPr>
              <w:pStyle w:val="TableRow"/>
              <w:rPr>
                <w:b/>
                <w:bCs/>
                <w:iCs/>
                <w:sz w:val="22"/>
              </w:rPr>
            </w:pPr>
            <w:r w:rsidRPr="00A778E2">
              <w:rPr>
                <w:b/>
                <w:bCs/>
                <w:iCs/>
                <w:sz w:val="22"/>
              </w:rPr>
              <w:t>Lunchtime club to provide creative opportunities and enrichment activities.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43E09" w14:textId="77777777" w:rsidR="00902424" w:rsidRDefault="00902424" w:rsidP="00902424">
            <w:pPr>
              <w:pStyle w:val="TableRowCentered"/>
              <w:jc w:val="left"/>
              <w:rPr>
                <w:sz w:val="22"/>
              </w:rPr>
            </w:pPr>
            <w:r w:rsidRPr="003A3A0C">
              <w:rPr>
                <w:b/>
                <w:bCs/>
                <w:sz w:val="22"/>
              </w:rPr>
              <w:t xml:space="preserve">Aim: </w:t>
            </w:r>
            <w:r>
              <w:rPr>
                <w:sz w:val="22"/>
              </w:rPr>
              <w:t xml:space="preserve">To develop a talk-rich environment where children engage in discussions with their peers and other adults through engaging activities and play opportunities. To develop additional social and emotional skills in a stimulating, adult supported environment. </w:t>
            </w:r>
          </w:p>
          <w:p w14:paraId="108CC819" w14:textId="77777777" w:rsidR="00902424" w:rsidRDefault="00902424" w:rsidP="00902424">
            <w:pPr>
              <w:pStyle w:val="TableRowCentered"/>
              <w:jc w:val="left"/>
              <w:rPr>
                <w:sz w:val="22"/>
              </w:rPr>
            </w:pPr>
          </w:p>
          <w:p w14:paraId="03E51F0F" w14:textId="77777777" w:rsidR="00902424" w:rsidRDefault="00902424" w:rsidP="00902424">
            <w:pPr>
              <w:pStyle w:val="TableRowCentered"/>
              <w:jc w:val="left"/>
              <w:rPr>
                <w:sz w:val="22"/>
              </w:rPr>
            </w:pPr>
            <w:r w:rsidRPr="003A3A0C">
              <w:rPr>
                <w:b/>
                <w:bCs/>
                <w:sz w:val="22"/>
              </w:rPr>
              <w:lastRenderedPageBreak/>
              <w:t>Evidence:</w:t>
            </w:r>
            <w:r w:rsidRPr="00355ACB">
              <w:rPr>
                <w:sz w:val="22"/>
              </w:rPr>
              <w:t xml:space="preserve"> Evidence</w:t>
            </w:r>
            <w:r>
              <w:rPr>
                <w:sz w:val="22"/>
              </w:rPr>
              <w:t xml:space="preserve"> suggests that enrichment activities (even without a specific learning focus) can have a positive impact on attainment. They can help to develop personal development. </w:t>
            </w:r>
          </w:p>
          <w:p w14:paraId="07E529DE" w14:textId="77777777" w:rsidR="00902424" w:rsidRDefault="00902424" w:rsidP="00902424">
            <w:pPr>
              <w:pStyle w:val="TableRowCentered"/>
              <w:ind w:left="0"/>
              <w:jc w:val="left"/>
              <w:rPr>
                <w:sz w:val="22"/>
              </w:rPr>
            </w:pPr>
          </w:p>
          <w:p w14:paraId="7D83CB96" w14:textId="77777777" w:rsidR="00902424" w:rsidRDefault="00702E96" w:rsidP="00902424">
            <w:pPr>
              <w:pStyle w:val="TableRowCentered"/>
              <w:jc w:val="left"/>
              <w:rPr>
                <w:sz w:val="22"/>
              </w:rPr>
            </w:pPr>
            <w:hyperlink r:id="rId31" w:history="1">
              <w:r w:rsidR="00902424" w:rsidRPr="005635BA">
                <w:rPr>
                  <w:rStyle w:val="Hyperlink"/>
                  <w:sz w:val="22"/>
                </w:rPr>
                <w:t>EEF Toolkit: additional activities and enrichment activities.</w:t>
              </w:r>
            </w:hyperlink>
          </w:p>
          <w:p w14:paraId="00DF0BB9" w14:textId="77777777" w:rsidR="00902424" w:rsidRPr="00C74840" w:rsidRDefault="00902424" w:rsidP="00902424">
            <w:pPr>
              <w:pStyle w:val="TableRowCentered"/>
              <w:jc w:val="left"/>
              <w:rPr>
                <w:b/>
                <w:bCs/>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1720E" w14:textId="5A8453AB" w:rsidR="00902424" w:rsidRPr="00A778E2" w:rsidRDefault="003A65F8">
            <w:pPr>
              <w:pStyle w:val="TableRowCentered"/>
              <w:jc w:val="left"/>
              <w:rPr>
                <w:b/>
                <w:bCs/>
                <w:sz w:val="22"/>
              </w:rPr>
            </w:pPr>
            <w:r w:rsidRPr="00A778E2">
              <w:rPr>
                <w:b/>
                <w:bCs/>
                <w:sz w:val="22"/>
              </w:rPr>
              <w:lastRenderedPageBreak/>
              <w:t>1, 6</w:t>
            </w:r>
          </w:p>
        </w:tc>
      </w:tr>
      <w:tr w:rsidR="00DD63E4" w14:paraId="2A30B5C5"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D2986" w14:textId="7AF2C717" w:rsidR="00DD63E4" w:rsidRPr="00A778E2" w:rsidRDefault="00A778E2">
            <w:pPr>
              <w:pStyle w:val="TableRow"/>
              <w:rPr>
                <w:b/>
                <w:bCs/>
                <w:iCs/>
                <w:sz w:val="22"/>
              </w:rPr>
            </w:pPr>
            <w:r w:rsidRPr="00A778E2">
              <w:rPr>
                <w:b/>
                <w:bCs/>
                <w:iCs/>
                <w:sz w:val="22"/>
              </w:rPr>
              <w:t>To work with Delight charity and Guildford Shakepeare Company on arts and engagement projects in KS2.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76EE7" w14:textId="07E5025E" w:rsidR="00397641" w:rsidRDefault="00397641" w:rsidP="00397641">
            <w:pPr>
              <w:pStyle w:val="TableRowCentered"/>
              <w:jc w:val="left"/>
              <w:rPr>
                <w:sz w:val="22"/>
              </w:rPr>
            </w:pPr>
            <w:r w:rsidRPr="00E83157">
              <w:rPr>
                <w:b/>
                <w:bCs/>
                <w:sz w:val="22"/>
              </w:rPr>
              <w:t xml:space="preserve">Aim: </w:t>
            </w:r>
            <w:r>
              <w:rPr>
                <w:sz w:val="22"/>
              </w:rPr>
              <w:t>To provide opportunities to work with ‘experts in their field’ in conjunction with the Watts gallery. For children to work with an artist to develop and complete a project with accumulates in their work being framed and displayed. In addition to work with actors from Guildford Shakespeare Company over 3 consecutive years</w:t>
            </w:r>
          </w:p>
          <w:p w14:paraId="1606867C" w14:textId="77777777" w:rsidR="00397641" w:rsidRDefault="00397641" w:rsidP="00397641">
            <w:pPr>
              <w:pStyle w:val="TableRowCentered"/>
              <w:jc w:val="left"/>
              <w:rPr>
                <w:sz w:val="22"/>
              </w:rPr>
            </w:pPr>
          </w:p>
          <w:p w14:paraId="13621279" w14:textId="77777777" w:rsidR="00397641" w:rsidRDefault="00397641" w:rsidP="00397641">
            <w:pPr>
              <w:pStyle w:val="TableRowCentered"/>
              <w:jc w:val="left"/>
              <w:rPr>
                <w:sz w:val="22"/>
              </w:rPr>
            </w:pPr>
            <w:r w:rsidRPr="00E83157">
              <w:rPr>
                <w:b/>
                <w:bCs/>
                <w:sz w:val="22"/>
              </w:rPr>
              <w:t xml:space="preserve">Evidence: </w:t>
            </w:r>
            <w:r>
              <w:rPr>
                <w:sz w:val="22"/>
              </w:rPr>
              <w:t xml:space="preserve">By participating in arts, there is thought to be a positive impact on other areas of children’s learning. Including expected improved outcomes in all core curriculum areas. It is also considered to improve well-being and positive attitudes to school and learning. </w:t>
            </w:r>
          </w:p>
          <w:p w14:paraId="346B741D" w14:textId="77777777" w:rsidR="00397641" w:rsidRDefault="00397641" w:rsidP="00397641">
            <w:pPr>
              <w:pStyle w:val="TableRowCentered"/>
              <w:jc w:val="left"/>
              <w:rPr>
                <w:sz w:val="22"/>
              </w:rPr>
            </w:pPr>
          </w:p>
          <w:p w14:paraId="1952534E" w14:textId="77777777" w:rsidR="00397641" w:rsidRDefault="00702E96" w:rsidP="00397641">
            <w:pPr>
              <w:pStyle w:val="TableRowCentered"/>
              <w:jc w:val="left"/>
              <w:rPr>
                <w:sz w:val="22"/>
              </w:rPr>
            </w:pPr>
            <w:hyperlink r:id="rId32" w:history="1">
              <w:r w:rsidR="00397641" w:rsidRPr="00F01935">
                <w:rPr>
                  <w:rStyle w:val="Hyperlink"/>
                  <w:sz w:val="22"/>
                </w:rPr>
                <w:t>EEF Toolkit: Arts participation</w:t>
              </w:r>
            </w:hyperlink>
          </w:p>
          <w:p w14:paraId="723EFC47" w14:textId="77777777" w:rsidR="00DD63E4" w:rsidRDefault="00DD63E4">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20B5" w14:textId="28A46B22" w:rsidR="00DD63E4" w:rsidRPr="00A778E2" w:rsidRDefault="003A65F8">
            <w:pPr>
              <w:pStyle w:val="TableRowCentered"/>
              <w:jc w:val="left"/>
              <w:rPr>
                <w:b/>
                <w:bCs/>
                <w:sz w:val="22"/>
              </w:rPr>
            </w:pPr>
            <w:r w:rsidRPr="00A778E2">
              <w:rPr>
                <w:b/>
                <w:bCs/>
                <w:sz w:val="22"/>
              </w:rPr>
              <w:t>1, 6</w:t>
            </w:r>
          </w:p>
        </w:tc>
      </w:tr>
      <w:tr w:rsidR="00DD63E4" w14:paraId="09E38C51" w14:textId="77777777" w:rsidTr="009024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E8BD3" w14:textId="164BDAD4" w:rsidR="00DD63E4" w:rsidRPr="00A778E2" w:rsidRDefault="00A778E2">
            <w:pPr>
              <w:pStyle w:val="TableRow"/>
              <w:rPr>
                <w:b/>
                <w:bCs/>
                <w:iCs/>
                <w:sz w:val="22"/>
              </w:rPr>
            </w:pPr>
            <w:r w:rsidRPr="00A778E2">
              <w:rPr>
                <w:b/>
                <w:bCs/>
                <w:iCs/>
                <w:sz w:val="22"/>
              </w:rPr>
              <w:t>Develop language project at lunchtimes to ensure our pupils are engaging in activities on the playground.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4C2E" w14:textId="77777777" w:rsidR="00397641" w:rsidRDefault="00397641" w:rsidP="00397641">
            <w:pPr>
              <w:pStyle w:val="TableRowCentered"/>
              <w:jc w:val="left"/>
              <w:rPr>
                <w:sz w:val="22"/>
              </w:rPr>
            </w:pPr>
            <w:r w:rsidRPr="00A506F0">
              <w:rPr>
                <w:b/>
                <w:bCs/>
                <w:sz w:val="22"/>
              </w:rPr>
              <w:t xml:space="preserve">Aim: </w:t>
            </w:r>
            <w:r>
              <w:rPr>
                <w:rFonts w:ascii="Tahoma" w:hAnsi="Tahoma" w:cs="Tahoma"/>
                <w:sz w:val="20"/>
              </w:rPr>
              <w:t xml:space="preserve">To provide enrichment play opportunities that encourage purposeful talk and engaging play for all pupils across the school. To use role-play to encourage the telling of stories. </w:t>
            </w:r>
          </w:p>
          <w:p w14:paraId="3BAC4A71" w14:textId="77777777" w:rsidR="00397641" w:rsidRDefault="00397641" w:rsidP="00397641">
            <w:pPr>
              <w:pStyle w:val="TableRowCentered"/>
              <w:jc w:val="left"/>
              <w:rPr>
                <w:sz w:val="22"/>
              </w:rPr>
            </w:pPr>
          </w:p>
          <w:p w14:paraId="5BB0A0B3" w14:textId="77777777" w:rsidR="00397641" w:rsidRDefault="00397641" w:rsidP="00397641">
            <w:pPr>
              <w:pStyle w:val="TableRowCentered"/>
              <w:jc w:val="left"/>
              <w:rPr>
                <w:sz w:val="22"/>
              </w:rPr>
            </w:pPr>
            <w:r w:rsidRPr="00A506F0">
              <w:rPr>
                <w:b/>
                <w:bCs/>
                <w:sz w:val="22"/>
              </w:rPr>
              <w:t xml:space="preserve">Evidence: </w:t>
            </w:r>
            <w:r w:rsidRPr="00355ACB">
              <w:rPr>
                <w:sz w:val="22"/>
              </w:rPr>
              <w:t>Evidence</w:t>
            </w:r>
            <w:r>
              <w:rPr>
                <w:sz w:val="22"/>
              </w:rPr>
              <w:t xml:space="preserve"> suggests that enrichment activities (even without a specific learning focus) can have a positive impact on attainment. They can help to develop personal development. </w:t>
            </w:r>
          </w:p>
          <w:p w14:paraId="2211D017" w14:textId="77777777" w:rsidR="00397641" w:rsidRDefault="00397641" w:rsidP="00397641">
            <w:pPr>
              <w:pStyle w:val="TableRowCentered"/>
              <w:jc w:val="left"/>
              <w:rPr>
                <w:sz w:val="20"/>
                <w:szCs w:val="18"/>
              </w:rPr>
            </w:pPr>
          </w:p>
          <w:p w14:paraId="2068CCC3" w14:textId="77777777" w:rsidR="00397641" w:rsidRDefault="00702E96" w:rsidP="00397641">
            <w:pPr>
              <w:pStyle w:val="TableRowCentered"/>
              <w:jc w:val="left"/>
              <w:rPr>
                <w:sz w:val="20"/>
                <w:szCs w:val="18"/>
              </w:rPr>
            </w:pPr>
            <w:hyperlink r:id="rId33" w:history="1">
              <w:r w:rsidR="00397641" w:rsidRPr="008C65AE">
                <w:rPr>
                  <w:rStyle w:val="Hyperlink"/>
                  <w:sz w:val="20"/>
                  <w:szCs w:val="18"/>
                </w:rPr>
                <w:t>EEF Toolkit: additional activities and enrichment programmes.</w:t>
              </w:r>
            </w:hyperlink>
            <w:r w:rsidR="00397641">
              <w:rPr>
                <w:sz w:val="20"/>
                <w:szCs w:val="18"/>
              </w:rPr>
              <w:t xml:space="preserve"> </w:t>
            </w:r>
          </w:p>
          <w:p w14:paraId="15470847" w14:textId="77777777" w:rsidR="00DD63E4" w:rsidRDefault="00DD63E4">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55179" w14:textId="2363BB96" w:rsidR="00DD63E4" w:rsidRPr="00710B77" w:rsidRDefault="003A65F8">
            <w:pPr>
              <w:pStyle w:val="TableRowCentered"/>
              <w:jc w:val="left"/>
              <w:rPr>
                <w:b/>
                <w:bCs/>
                <w:sz w:val="22"/>
              </w:rPr>
            </w:pPr>
            <w:r w:rsidRPr="00710B77">
              <w:rPr>
                <w:b/>
                <w:bCs/>
                <w:sz w:val="22"/>
              </w:rPr>
              <w:t>1, 6</w:t>
            </w:r>
          </w:p>
        </w:tc>
      </w:tr>
    </w:tbl>
    <w:p w14:paraId="2A7D5540" w14:textId="77777777" w:rsidR="00E66558" w:rsidRDefault="00E66558">
      <w:pPr>
        <w:spacing w:before="240" w:after="0"/>
        <w:rPr>
          <w:b/>
          <w:bCs/>
          <w:color w:val="104F75"/>
          <w:sz w:val="28"/>
          <w:szCs w:val="28"/>
        </w:rPr>
      </w:pPr>
    </w:p>
    <w:p w14:paraId="5E390686" w14:textId="77777777" w:rsidR="00702E96" w:rsidRDefault="00702E96" w:rsidP="00702E96">
      <w:r>
        <w:rPr>
          <w:b/>
          <w:bCs/>
          <w:color w:val="104F75"/>
          <w:sz w:val="28"/>
          <w:szCs w:val="28"/>
        </w:rPr>
        <w:t xml:space="preserve">Total budgeted cost: </w:t>
      </w:r>
      <w:r w:rsidRPr="00B114DC">
        <w:rPr>
          <w:b/>
          <w:bCs/>
          <w:color w:val="104F75"/>
          <w:sz w:val="28"/>
          <w:szCs w:val="28"/>
        </w:rPr>
        <w:t>£249,008</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10132"/>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11CDF6" w14:textId="36748956" w:rsidR="002E1402" w:rsidRPr="00EE2859" w:rsidRDefault="002E1402" w:rsidP="002E1402">
            <w:pPr>
              <w:suppressAutoHyphens w:val="0"/>
              <w:autoSpaceDN/>
              <w:spacing w:after="0" w:line="240" w:lineRule="auto"/>
              <w:rPr>
                <w:rFonts w:ascii="Calibri" w:hAnsi="Calibri" w:cs="Calibri"/>
                <w:color w:val="auto"/>
                <w:sz w:val="28"/>
                <w:lang w:val="en-US"/>
              </w:rPr>
            </w:pPr>
            <w:r w:rsidRPr="00EE2859">
              <w:rPr>
                <w:rFonts w:ascii="Calibri" w:hAnsi="Calibri" w:cs="Calibri"/>
                <w:color w:val="auto"/>
                <w:sz w:val="28"/>
                <w:lang w:val="en-US"/>
              </w:rPr>
              <w:t>Many of our pupil premium children also have additional needs</w:t>
            </w:r>
            <w:r w:rsidR="00EE2859">
              <w:rPr>
                <w:rFonts w:ascii="Calibri" w:hAnsi="Calibri" w:cs="Calibri"/>
                <w:color w:val="auto"/>
                <w:sz w:val="28"/>
                <w:lang w:val="en-US"/>
              </w:rPr>
              <w:t xml:space="preserve"> including SEND, attendance or pastoral</w:t>
            </w:r>
            <w:r w:rsidRPr="00EE2859">
              <w:rPr>
                <w:rFonts w:ascii="Calibri" w:hAnsi="Calibri" w:cs="Calibri"/>
                <w:color w:val="auto"/>
                <w:sz w:val="28"/>
                <w:lang w:val="en-US"/>
              </w:rPr>
              <w:t>.</w:t>
            </w:r>
            <w:r w:rsidR="00EE2859">
              <w:rPr>
                <w:rFonts w:ascii="Calibri" w:hAnsi="Calibri" w:cs="Calibri"/>
                <w:color w:val="auto"/>
                <w:sz w:val="28"/>
                <w:lang w:val="en-US"/>
              </w:rPr>
              <w:t xml:space="preserve"> The data for all pupils vs pupil premium is illustrated below:</w:t>
            </w:r>
            <w:r w:rsidRPr="00EE2859">
              <w:rPr>
                <w:rFonts w:ascii="Calibri" w:hAnsi="Calibri" w:cs="Calibri"/>
                <w:color w:val="auto"/>
                <w:sz w:val="28"/>
                <w:lang w:val="en-US"/>
              </w:rPr>
              <w:t xml:space="preserve"> </w:t>
            </w:r>
          </w:p>
          <w:p w14:paraId="1CDA84D5" w14:textId="77777777" w:rsidR="002E1402" w:rsidRDefault="002E1402" w:rsidP="002E1402">
            <w:pPr>
              <w:suppressAutoHyphens w:val="0"/>
              <w:autoSpaceDN/>
              <w:spacing w:after="0" w:line="240" w:lineRule="auto"/>
              <w:rPr>
                <w:rFonts w:ascii="Calibri" w:hAnsi="Calibri" w:cs="Calibri"/>
                <w:b/>
                <w:bCs/>
                <w:color w:val="auto"/>
                <w:sz w:val="28"/>
                <w:lang w:val="en-US"/>
              </w:rPr>
            </w:pPr>
          </w:p>
          <w:p w14:paraId="2EF029C8" w14:textId="33173860" w:rsidR="002E1402" w:rsidRPr="002E1402" w:rsidRDefault="002E1402" w:rsidP="002E1402">
            <w:pPr>
              <w:suppressAutoHyphens w:val="0"/>
              <w:autoSpaceDN/>
              <w:spacing w:after="0" w:line="240" w:lineRule="auto"/>
              <w:rPr>
                <w:rFonts w:ascii="Calibri" w:hAnsi="Calibri" w:cs="Calibri"/>
                <w:b/>
                <w:bCs/>
                <w:color w:val="auto"/>
                <w:sz w:val="28"/>
                <w:lang w:val="en-US"/>
              </w:rPr>
            </w:pPr>
            <w:r>
              <w:rPr>
                <w:rFonts w:ascii="Calibri" w:hAnsi="Calibri" w:cs="Calibri"/>
                <w:b/>
                <w:bCs/>
                <w:color w:val="auto"/>
                <w:sz w:val="28"/>
                <w:lang w:val="en-US"/>
              </w:rPr>
              <w:t>KS1</w:t>
            </w:r>
            <w:r w:rsidRPr="002E1402">
              <w:rPr>
                <w:rFonts w:ascii="Calibri" w:hAnsi="Calibri" w:cs="Calibri"/>
                <w:b/>
                <w:bCs/>
                <w:color w:val="auto"/>
                <w:sz w:val="28"/>
                <w:lang w:val="en-US"/>
              </w:rPr>
              <w:t xml:space="preserve">: </w:t>
            </w:r>
            <w:r w:rsidRPr="002E1402">
              <w:rPr>
                <w:rFonts w:ascii="Calibri" w:hAnsi="Calibri" w:cs="Calibri"/>
                <w:color w:val="auto"/>
                <w:lang w:val="en-US"/>
              </w:rPr>
              <w:t>30% EAL, 28% SEND, 30% PP, 8% SEND + PP, 30% have less than 92% attendance</w:t>
            </w:r>
          </w:p>
          <w:tbl>
            <w:tblPr>
              <w:tblStyle w:val="TableGrid"/>
              <w:tblW w:w="9897" w:type="dxa"/>
              <w:tblLook w:val="04A0" w:firstRow="1" w:lastRow="0" w:firstColumn="1" w:lastColumn="0" w:noHBand="0" w:noVBand="1"/>
            </w:tblPr>
            <w:tblGrid>
              <w:gridCol w:w="1698"/>
              <w:gridCol w:w="1698"/>
              <w:gridCol w:w="1698"/>
              <w:gridCol w:w="1699"/>
              <w:gridCol w:w="3104"/>
            </w:tblGrid>
            <w:tr w:rsidR="002E1402" w:rsidRPr="002E1402" w14:paraId="460C4675" w14:textId="77777777" w:rsidTr="002E1402">
              <w:trPr>
                <w:trHeight w:val="460"/>
              </w:trPr>
              <w:tc>
                <w:tcPr>
                  <w:tcW w:w="1698" w:type="dxa"/>
                  <w:shd w:val="clear" w:color="auto" w:fill="EAF1DD" w:themeFill="accent3" w:themeFillTint="33"/>
                </w:tcPr>
                <w:p w14:paraId="541F783A" w14:textId="77777777" w:rsidR="002E1402" w:rsidRDefault="002E1402" w:rsidP="002E1402">
                  <w:pPr>
                    <w:suppressAutoHyphens w:val="0"/>
                    <w:autoSpaceDN/>
                    <w:spacing w:after="0" w:line="240" w:lineRule="auto"/>
                    <w:jc w:val="center"/>
                    <w:rPr>
                      <w:rFonts w:ascii="Calibri" w:hAnsi="Calibri" w:cs="Calibri"/>
                      <w:b/>
                      <w:bCs/>
                      <w:color w:val="auto"/>
                      <w:sz w:val="22"/>
                      <w:szCs w:val="20"/>
                      <w:lang w:val="en-US"/>
                    </w:rPr>
                  </w:pPr>
                  <w:r w:rsidRPr="002E1402">
                    <w:rPr>
                      <w:rFonts w:ascii="Calibri" w:hAnsi="Calibri" w:cs="Calibri"/>
                      <w:b/>
                      <w:bCs/>
                      <w:color w:val="auto"/>
                      <w:sz w:val="22"/>
                      <w:szCs w:val="20"/>
                      <w:lang w:val="en-US"/>
                    </w:rPr>
                    <w:t xml:space="preserve">KS1 data </w:t>
                  </w:r>
                </w:p>
                <w:p w14:paraId="4E7FA955" w14:textId="5D926452" w:rsidR="002E1402" w:rsidRPr="002E1402" w:rsidRDefault="002E1402" w:rsidP="002E1402">
                  <w:pPr>
                    <w:suppressAutoHyphens w:val="0"/>
                    <w:autoSpaceDN/>
                    <w:spacing w:after="0" w:line="240" w:lineRule="auto"/>
                    <w:jc w:val="center"/>
                    <w:rPr>
                      <w:rFonts w:ascii="Calibri" w:hAnsi="Calibri" w:cs="Calibri"/>
                      <w:b/>
                      <w:bCs/>
                      <w:color w:val="auto"/>
                      <w:sz w:val="22"/>
                      <w:szCs w:val="20"/>
                      <w:lang w:val="en-US"/>
                    </w:rPr>
                  </w:pPr>
                  <w:r w:rsidRPr="002E1402">
                    <w:rPr>
                      <w:rFonts w:ascii="Calibri" w:hAnsi="Calibri" w:cs="Calibri"/>
                      <w:b/>
                      <w:bCs/>
                      <w:color w:val="auto"/>
                      <w:sz w:val="22"/>
                      <w:szCs w:val="20"/>
                      <w:lang w:val="en-US"/>
                    </w:rPr>
                    <w:t>(21-22)</w:t>
                  </w:r>
                </w:p>
                <w:p w14:paraId="12900D41"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53 children</w:t>
                  </w:r>
                </w:p>
              </w:tc>
              <w:tc>
                <w:tcPr>
                  <w:tcW w:w="1698" w:type="dxa"/>
                  <w:shd w:val="clear" w:color="auto" w:fill="EAF1DD" w:themeFill="accent3" w:themeFillTint="33"/>
                </w:tcPr>
                <w:p w14:paraId="3B593541" w14:textId="77777777" w:rsidR="002E1402" w:rsidRPr="002E1402" w:rsidRDefault="002E1402" w:rsidP="002E1402">
                  <w:pPr>
                    <w:suppressAutoHyphens w:val="0"/>
                    <w:autoSpaceDN/>
                    <w:spacing w:after="0" w:line="240" w:lineRule="auto"/>
                    <w:jc w:val="center"/>
                    <w:rPr>
                      <w:rFonts w:ascii="Calibri" w:hAnsi="Calibri" w:cs="Calibri"/>
                      <w:b/>
                      <w:bCs/>
                      <w:color w:val="auto"/>
                      <w:szCs w:val="22"/>
                      <w:lang w:val="en-US"/>
                    </w:rPr>
                  </w:pPr>
                  <w:r w:rsidRPr="002E1402">
                    <w:rPr>
                      <w:rFonts w:ascii="Calibri" w:hAnsi="Calibri" w:cs="Calibri"/>
                      <w:b/>
                      <w:bCs/>
                      <w:color w:val="auto"/>
                      <w:szCs w:val="22"/>
                      <w:lang w:val="en-US"/>
                    </w:rPr>
                    <w:t>Phonics</w:t>
                  </w:r>
                </w:p>
              </w:tc>
              <w:tc>
                <w:tcPr>
                  <w:tcW w:w="1698" w:type="dxa"/>
                  <w:shd w:val="clear" w:color="auto" w:fill="EAF1DD" w:themeFill="accent3" w:themeFillTint="33"/>
                </w:tcPr>
                <w:p w14:paraId="685CD2C1" w14:textId="77777777" w:rsidR="002E1402" w:rsidRPr="002E1402" w:rsidRDefault="002E1402" w:rsidP="002E1402">
                  <w:pPr>
                    <w:suppressAutoHyphens w:val="0"/>
                    <w:autoSpaceDN/>
                    <w:spacing w:after="0" w:line="240" w:lineRule="auto"/>
                    <w:jc w:val="center"/>
                    <w:rPr>
                      <w:rFonts w:ascii="Calibri" w:hAnsi="Calibri" w:cs="Calibri"/>
                      <w:b/>
                      <w:bCs/>
                      <w:color w:val="auto"/>
                      <w:szCs w:val="22"/>
                      <w:lang w:val="en-US"/>
                    </w:rPr>
                  </w:pPr>
                  <w:r w:rsidRPr="002E1402">
                    <w:rPr>
                      <w:rFonts w:ascii="Calibri" w:hAnsi="Calibri" w:cs="Calibri"/>
                      <w:b/>
                      <w:bCs/>
                      <w:color w:val="auto"/>
                      <w:szCs w:val="22"/>
                      <w:lang w:val="en-US"/>
                    </w:rPr>
                    <w:t>Reading</w:t>
                  </w:r>
                </w:p>
              </w:tc>
              <w:tc>
                <w:tcPr>
                  <w:tcW w:w="1699" w:type="dxa"/>
                  <w:shd w:val="clear" w:color="auto" w:fill="EAF1DD" w:themeFill="accent3" w:themeFillTint="33"/>
                </w:tcPr>
                <w:p w14:paraId="4C0E35A4" w14:textId="77777777" w:rsidR="002E1402" w:rsidRPr="002E1402" w:rsidRDefault="002E1402" w:rsidP="002E1402">
                  <w:pPr>
                    <w:suppressAutoHyphens w:val="0"/>
                    <w:autoSpaceDN/>
                    <w:spacing w:after="0" w:line="240" w:lineRule="auto"/>
                    <w:jc w:val="center"/>
                    <w:rPr>
                      <w:rFonts w:ascii="Calibri" w:hAnsi="Calibri" w:cs="Calibri"/>
                      <w:b/>
                      <w:bCs/>
                      <w:color w:val="auto"/>
                      <w:szCs w:val="22"/>
                      <w:lang w:val="en-US"/>
                    </w:rPr>
                  </w:pPr>
                  <w:r w:rsidRPr="002E1402">
                    <w:rPr>
                      <w:rFonts w:ascii="Calibri" w:hAnsi="Calibri" w:cs="Calibri"/>
                      <w:b/>
                      <w:bCs/>
                      <w:color w:val="auto"/>
                      <w:szCs w:val="22"/>
                      <w:lang w:val="en-US"/>
                    </w:rPr>
                    <w:t>Writing</w:t>
                  </w:r>
                </w:p>
              </w:tc>
              <w:tc>
                <w:tcPr>
                  <w:tcW w:w="3102" w:type="dxa"/>
                  <w:shd w:val="clear" w:color="auto" w:fill="EAF1DD" w:themeFill="accent3" w:themeFillTint="33"/>
                </w:tcPr>
                <w:p w14:paraId="582CB443" w14:textId="77777777" w:rsidR="002E1402" w:rsidRPr="002E1402" w:rsidRDefault="002E1402" w:rsidP="002E1402">
                  <w:pPr>
                    <w:suppressAutoHyphens w:val="0"/>
                    <w:autoSpaceDN/>
                    <w:spacing w:after="0" w:line="240" w:lineRule="auto"/>
                    <w:jc w:val="center"/>
                    <w:rPr>
                      <w:rFonts w:ascii="Calibri" w:hAnsi="Calibri" w:cs="Calibri"/>
                      <w:b/>
                      <w:bCs/>
                      <w:color w:val="auto"/>
                      <w:szCs w:val="22"/>
                      <w:lang w:val="en-US"/>
                    </w:rPr>
                  </w:pPr>
                  <w:r w:rsidRPr="002E1402">
                    <w:rPr>
                      <w:rFonts w:ascii="Calibri" w:hAnsi="Calibri" w:cs="Calibri"/>
                      <w:b/>
                      <w:bCs/>
                      <w:color w:val="auto"/>
                      <w:szCs w:val="22"/>
                      <w:lang w:val="en-US"/>
                    </w:rPr>
                    <w:t>Maths</w:t>
                  </w:r>
                </w:p>
              </w:tc>
            </w:tr>
            <w:tr w:rsidR="002E1402" w:rsidRPr="002E1402" w14:paraId="16B43130" w14:textId="77777777" w:rsidTr="002E1402">
              <w:trPr>
                <w:trHeight w:val="230"/>
              </w:trPr>
              <w:tc>
                <w:tcPr>
                  <w:tcW w:w="1698" w:type="dxa"/>
                  <w:shd w:val="clear" w:color="auto" w:fill="EAF1DD" w:themeFill="accent3" w:themeFillTint="33"/>
                </w:tcPr>
                <w:p w14:paraId="5FF7C15B" w14:textId="77777777" w:rsidR="002E1402" w:rsidRPr="002E1402" w:rsidRDefault="002E1402" w:rsidP="002E1402">
                  <w:pPr>
                    <w:suppressAutoHyphens w:val="0"/>
                    <w:autoSpaceDN/>
                    <w:spacing w:after="0" w:line="240" w:lineRule="auto"/>
                    <w:jc w:val="center"/>
                    <w:rPr>
                      <w:rFonts w:ascii="Calibri" w:hAnsi="Calibri" w:cs="Calibri"/>
                      <w:b/>
                      <w:bCs/>
                      <w:color w:val="auto"/>
                      <w:sz w:val="22"/>
                      <w:szCs w:val="20"/>
                      <w:lang w:val="en-US"/>
                    </w:rPr>
                  </w:pPr>
                  <w:r w:rsidRPr="002E1402">
                    <w:rPr>
                      <w:rFonts w:ascii="Calibri" w:hAnsi="Calibri" w:cs="Calibri"/>
                      <w:b/>
                      <w:bCs/>
                      <w:color w:val="auto"/>
                      <w:sz w:val="22"/>
                      <w:szCs w:val="20"/>
                      <w:lang w:val="en-US"/>
                    </w:rPr>
                    <w:t>EXS+</w:t>
                  </w:r>
                </w:p>
              </w:tc>
              <w:tc>
                <w:tcPr>
                  <w:tcW w:w="1698" w:type="dxa"/>
                </w:tcPr>
                <w:p w14:paraId="3EC1AB82" w14:textId="77777777" w:rsidR="002E1402" w:rsidRPr="002E1402" w:rsidRDefault="002E1402" w:rsidP="002E1402">
                  <w:pPr>
                    <w:suppressAutoHyphens w:val="0"/>
                    <w:autoSpaceDN/>
                    <w:spacing w:after="0" w:line="240" w:lineRule="auto"/>
                    <w:rPr>
                      <w:rFonts w:ascii="Calibri" w:hAnsi="Calibri" w:cs="Calibri"/>
                      <w:color w:val="auto"/>
                      <w:sz w:val="22"/>
                      <w:szCs w:val="20"/>
                      <w:lang w:val="en-US"/>
                    </w:rPr>
                  </w:pPr>
                </w:p>
              </w:tc>
              <w:tc>
                <w:tcPr>
                  <w:tcW w:w="1698" w:type="dxa"/>
                </w:tcPr>
                <w:p w14:paraId="26DD5FD6"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44%</w:t>
                  </w:r>
                </w:p>
              </w:tc>
              <w:tc>
                <w:tcPr>
                  <w:tcW w:w="1699" w:type="dxa"/>
                </w:tcPr>
                <w:p w14:paraId="15B264C5"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46%</w:t>
                  </w:r>
                </w:p>
              </w:tc>
              <w:tc>
                <w:tcPr>
                  <w:tcW w:w="3102" w:type="dxa"/>
                </w:tcPr>
                <w:p w14:paraId="77D08CBD"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63%</w:t>
                  </w:r>
                </w:p>
              </w:tc>
            </w:tr>
            <w:tr w:rsidR="002E1402" w:rsidRPr="002E1402" w14:paraId="369FF681" w14:textId="77777777" w:rsidTr="002E1402">
              <w:trPr>
                <w:trHeight w:val="230"/>
              </w:trPr>
              <w:tc>
                <w:tcPr>
                  <w:tcW w:w="1698" w:type="dxa"/>
                  <w:shd w:val="clear" w:color="auto" w:fill="EAF1DD" w:themeFill="accent3" w:themeFillTint="33"/>
                </w:tcPr>
                <w:p w14:paraId="19CFC21A" w14:textId="77777777" w:rsidR="002E1402" w:rsidRPr="002E1402" w:rsidRDefault="002E1402" w:rsidP="002E1402">
                  <w:pPr>
                    <w:suppressAutoHyphens w:val="0"/>
                    <w:autoSpaceDN/>
                    <w:spacing w:after="0" w:line="240" w:lineRule="auto"/>
                    <w:jc w:val="center"/>
                    <w:rPr>
                      <w:rFonts w:ascii="Calibri" w:hAnsi="Calibri" w:cs="Calibri"/>
                      <w:b/>
                      <w:bCs/>
                      <w:color w:val="auto"/>
                      <w:sz w:val="22"/>
                      <w:szCs w:val="20"/>
                      <w:lang w:val="en-US"/>
                    </w:rPr>
                  </w:pPr>
                  <w:r w:rsidRPr="002E1402">
                    <w:rPr>
                      <w:rFonts w:ascii="Calibri" w:hAnsi="Calibri" w:cs="Calibri"/>
                      <w:b/>
                      <w:bCs/>
                      <w:color w:val="auto"/>
                      <w:sz w:val="22"/>
                      <w:szCs w:val="20"/>
                      <w:lang w:val="en-US"/>
                    </w:rPr>
                    <w:t>GDS</w:t>
                  </w:r>
                </w:p>
              </w:tc>
              <w:tc>
                <w:tcPr>
                  <w:tcW w:w="1698" w:type="dxa"/>
                </w:tcPr>
                <w:p w14:paraId="525613BF" w14:textId="77777777" w:rsidR="002E1402" w:rsidRPr="002E1402" w:rsidRDefault="002E1402" w:rsidP="002E1402">
                  <w:pPr>
                    <w:suppressAutoHyphens w:val="0"/>
                    <w:autoSpaceDN/>
                    <w:spacing w:after="0" w:line="240" w:lineRule="auto"/>
                    <w:rPr>
                      <w:rFonts w:ascii="Calibri" w:hAnsi="Calibri" w:cs="Calibri"/>
                      <w:color w:val="auto"/>
                      <w:sz w:val="22"/>
                      <w:szCs w:val="20"/>
                      <w:lang w:val="en-US"/>
                    </w:rPr>
                  </w:pPr>
                </w:p>
              </w:tc>
              <w:tc>
                <w:tcPr>
                  <w:tcW w:w="1698" w:type="dxa"/>
                </w:tcPr>
                <w:p w14:paraId="4B4057FC"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13%</w:t>
                  </w:r>
                </w:p>
              </w:tc>
              <w:tc>
                <w:tcPr>
                  <w:tcW w:w="1699" w:type="dxa"/>
                </w:tcPr>
                <w:p w14:paraId="7E7C30F7"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4%</w:t>
                  </w:r>
                </w:p>
              </w:tc>
              <w:tc>
                <w:tcPr>
                  <w:tcW w:w="3102" w:type="dxa"/>
                </w:tcPr>
                <w:p w14:paraId="7D6F6C70"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19%</w:t>
                  </w:r>
                </w:p>
              </w:tc>
            </w:tr>
            <w:tr w:rsidR="002E1402" w:rsidRPr="002E1402" w14:paraId="42642CC1" w14:textId="77777777" w:rsidTr="002E1402">
              <w:trPr>
                <w:trHeight w:val="230"/>
              </w:trPr>
              <w:tc>
                <w:tcPr>
                  <w:tcW w:w="9897" w:type="dxa"/>
                  <w:gridSpan w:val="5"/>
                  <w:shd w:val="clear" w:color="auto" w:fill="EAF1DD" w:themeFill="accent3" w:themeFillTint="33"/>
                </w:tcPr>
                <w:p w14:paraId="31C08968" w14:textId="77777777" w:rsidR="002E1402" w:rsidRPr="002E1402" w:rsidRDefault="002E1402" w:rsidP="002E1402">
                  <w:pPr>
                    <w:suppressAutoHyphens w:val="0"/>
                    <w:autoSpaceDN/>
                    <w:spacing w:after="0" w:line="240" w:lineRule="auto"/>
                    <w:jc w:val="center"/>
                    <w:rPr>
                      <w:rFonts w:ascii="Calibri" w:hAnsi="Calibri" w:cs="Calibri"/>
                      <w:b/>
                      <w:bCs/>
                      <w:color w:val="auto"/>
                      <w:sz w:val="22"/>
                      <w:szCs w:val="20"/>
                      <w:lang w:val="en-US"/>
                    </w:rPr>
                  </w:pPr>
                  <w:r w:rsidRPr="002E1402">
                    <w:rPr>
                      <w:rFonts w:ascii="Calibri" w:hAnsi="Calibri" w:cs="Calibri"/>
                      <w:b/>
                      <w:bCs/>
                      <w:color w:val="auto"/>
                      <w:sz w:val="22"/>
                      <w:szCs w:val="20"/>
                      <w:lang w:val="en-US"/>
                    </w:rPr>
                    <w:t xml:space="preserve">PUPIL PREMIUM: </w:t>
                  </w:r>
                  <w:r w:rsidRPr="002E1402">
                    <w:rPr>
                      <w:rFonts w:ascii="Calibri" w:hAnsi="Calibri" w:cs="Calibri"/>
                      <w:color w:val="auto"/>
                      <w:sz w:val="20"/>
                      <w:szCs w:val="18"/>
                      <w:lang w:val="en-US"/>
                    </w:rPr>
                    <w:t>(16 chn (30%) are PP. 5 (31%) of these have less than 92% attendance, 4 (25%) of them also have SEND)</w:t>
                  </w:r>
                </w:p>
              </w:tc>
            </w:tr>
            <w:tr w:rsidR="002E1402" w:rsidRPr="002E1402" w14:paraId="21758B8F" w14:textId="77777777" w:rsidTr="002E1402">
              <w:trPr>
                <w:trHeight w:val="237"/>
              </w:trPr>
              <w:tc>
                <w:tcPr>
                  <w:tcW w:w="1698" w:type="dxa"/>
                  <w:shd w:val="clear" w:color="auto" w:fill="EAF1DD" w:themeFill="accent3" w:themeFillTint="33"/>
                </w:tcPr>
                <w:p w14:paraId="1815B704" w14:textId="77777777" w:rsidR="002E1402" w:rsidRPr="002E1402" w:rsidRDefault="002E1402" w:rsidP="002E1402">
                  <w:pPr>
                    <w:suppressAutoHyphens w:val="0"/>
                    <w:autoSpaceDN/>
                    <w:spacing w:after="0" w:line="240" w:lineRule="auto"/>
                    <w:jc w:val="center"/>
                    <w:rPr>
                      <w:rFonts w:ascii="Calibri" w:hAnsi="Calibri" w:cs="Calibri"/>
                      <w:b/>
                      <w:bCs/>
                      <w:color w:val="auto"/>
                      <w:sz w:val="22"/>
                      <w:szCs w:val="20"/>
                      <w:lang w:val="en-US"/>
                    </w:rPr>
                  </w:pPr>
                  <w:r w:rsidRPr="002E1402">
                    <w:rPr>
                      <w:rFonts w:ascii="Calibri" w:hAnsi="Calibri" w:cs="Calibri"/>
                      <w:b/>
                      <w:bCs/>
                      <w:color w:val="auto"/>
                      <w:sz w:val="22"/>
                      <w:szCs w:val="20"/>
                      <w:lang w:val="en-US"/>
                    </w:rPr>
                    <w:t>EXS+</w:t>
                  </w:r>
                </w:p>
              </w:tc>
              <w:tc>
                <w:tcPr>
                  <w:tcW w:w="1698" w:type="dxa"/>
                </w:tcPr>
                <w:p w14:paraId="141AD232" w14:textId="77777777" w:rsidR="002E1402" w:rsidRPr="002E1402" w:rsidRDefault="002E1402" w:rsidP="002E1402">
                  <w:pPr>
                    <w:suppressAutoHyphens w:val="0"/>
                    <w:autoSpaceDN/>
                    <w:spacing w:after="0" w:line="240" w:lineRule="auto"/>
                    <w:rPr>
                      <w:rFonts w:ascii="Calibri" w:hAnsi="Calibri" w:cs="Calibri"/>
                      <w:color w:val="auto"/>
                      <w:sz w:val="22"/>
                      <w:szCs w:val="20"/>
                      <w:lang w:val="en-US"/>
                    </w:rPr>
                  </w:pPr>
                </w:p>
              </w:tc>
              <w:tc>
                <w:tcPr>
                  <w:tcW w:w="1698" w:type="dxa"/>
                </w:tcPr>
                <w:p w14:paraId="63FE956A"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44%</w:t>
                  </w:r>
                </w:p>
              </w:tc>
              <w:tc>
                <w:tcPr>
                  <w:tcW w:w="1699" w:type="dxa"/>
                </w:tcPr>
                <w:p w14:paraId="38B6E7C3"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44%</w:t>
                  </w:r>
                </w:p>
              </w:tc>
              <w:tc>
                <w:tcPr>
                  <w:tcW w:w="3102" w:type="dxa"/>
                </w:tcPr>
                <w:p w14:paraId="5BE5FF07"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56%</w:t>
                  </w:r>
                </w:p>
              </w:tc>
            </w:tr>
            <w:tr w:rsidR="002E1402" w:rsidRPr="002E1402" w14:paraId="5930D74B" w14:textId="77777777" w:rsidTr="002E1402">
              <w:trPr>
                <w:trHeight w:val="230"/>
              </w:trPr>
              <w:tc>
                <w:tcPr>
                  <w:tcW w:w="1698" w:type="dxa"/>
                  <w:shd w:val="clear" w:color="auto" w:fill="EAF1DD" w:themeFill="accent3" w:themeFillTint="33"/>
                </w:tcPr>
                <w:p w14:paraId="3577A286" w14:textId="77777777" w:rsidR="002E1402" w:rsidRPr="002E1402" w:rsidRDefault="002E1402" w:rsidP="002E1402">
                  <w:pPr>
                    <w:suppressAutoHyphens w:val="0"/>
                    <w:autoSpaceDN/>
                    <w:spacing w:after="0" w:line="240" w:lineRule="auto"/>
                    <w:jc w:val="center"/>
                    <w:rPr>
                      <w:rFonts w:ascii="Calibri" w:hAnsi="Calibri" w:cs="Calibri"/>
                      <w:b/>
                      <w:bCs/>
                      <w:color w:val="auto"/>
                      <w:sz w:val="22"/>
                      <w:szCs w:val="20"/>
                      <w:lang w:val="en-US"/>
                    </w:rPr>
                  </w:pPr>
                  <w:r w:rsidRPr="002E1402">
                    <w:rPr>
                      <w:rFonts w:ascii="Calibri" w:hAnsi="Calibri" w:cs="Calibri"/>
                      <w:b/>
                      <w:bCs/>
                      <w:color w:val="auto"/>
                      <w:sz w:val="22"/>
                      <w:szCs w:val="20"/>
                      <w:lang w:val="en-US"/>
                    </w:rPr>
                    <w:t>GDS</w:t>
                  </w:r>
                </w:p>
              </w:tc>
              <w:tc>
                <w:tcPr>
                  <w:tcW w:w="1698" w:type="dxa"/>
                </w:tcPr>
                <w:p w14:paraId="49A2C3A6" w14:textId="77777777" w:rsidR="002E1402" w:rsidRPr="002E1402" w:rsidRDefault="002E1402" w:rsidP="002E1402">
                  <w:pPr>
                    <w:suppressAutoHyphens w:val="0"/>
                    <w:autoSpaceDN/>
                    <w:spacing w:after="0" w:line="240" w:lineRule="auto"/>
                    <w:rPr>
                      <w:rFonts w:ascii="Calibri" w:hAnsi="Calibri" w:cs="Calibri"/>
                      <w:color w:val="auto"/>
                      <w:sz w:val="22"/>
                      <w:szCs w:val="20"/>
                      <w:lang w:val="en-US"/>
                    </w:rPr>
                  </w:pPr>
                </w:p>
              </w:tc>
              <w:tc>
                <w:tcPr>
                  <w:tcW w:w="1698" w:type="dxa"/>
                </w:tcPr>
                <w:p w14:paraId="04389066"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19%</w:t>
                  </w:r>
                </w:p>
              </w:tc>
              <w:tc>
                <w:tcPr>
                  <w:tcW w:w="1699" w:type="dxa"/>
                </w:tcPr>
                <w:p w14:paraId="09084B69"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0%</w:t>
                  </w:r>
                </w:p>
              </w:tc>
              <w:tc>
                <w:tcPr>
                  <w:tcW w:w="3102" w:type="dxa"/>
                </w:tcPr>
                <w:p w14:paraId="1E41B105"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19%</w:t>
                  </w:r>
                </w:p>
              </w:tc>
            </w:tr>
          </w:tbl>
          <w:p w14:paraId="41C04737" w14:textId="77777777" w:rsidR="002E1402" w:rsidRPr="002E1402" w:rsidRDefault="002E1402" w:rsidP="002E1402">
            <w:pPr>
              <w:suppressAutoHyphens w:val="0"/>
              <w:autoSpaceDN/>
              <w:spacing w:after="0" w:line="240" w:lineRule="auto"/>
              <w:rPr>
                <w:rFonts w:ascii="Calibri" w:hAnsi="Calibri" w:cs="Calibri"/>
                <w:color w:val="auto"/>
                <w:sz w:val="22"/>
                <w:szCs w:val="20"/>
                <w:lang w:val="en-US"/>
              </w:rPr>
            </w:pPr>
          </w:p>
          <w:p w14:paraId="542466CA" w14:textId="4EBEE44A" w:rsidR="002E1402" w:rsidRPr="002E1402" w:rsidRDefault="00EE2859" w:rsidP="002E1402">
            <w:pPr>
              <w:suppressAutoHyphens w:val="0"/>
              <w:autoSpaceDN/>
              <w:spacing w:after="0" w:line="240" w:lineRule="auto"/>
              <w:rPr>
                <w:rFonts w:ascii="Calibri" w:hAnsi="Calibri" w:cs="Calibri"/>
                <w:color w:val="auto"/>
                <w:szCs w:val="22"/>
                <w:lang w:val="en-US"/>
              </w:rPr>
            </w:pPr>
            <w:r>
              <w:rPr>
                <w:rFonts w:ascii="Calibri" w:hAnsi="Calibri" w:cs="Calibri"/>
                <w:b/>
                <w:bCs/>
                <w:color w:val="auto"/>
                <w:sz w:val="28"/>
                <w:lang w:val="en-US"/>
              </w:rPr>
              <w:t>KS2</w:t>
            </w:r>
            <w:r w:rsidR="002E1402" w:rsidRPr="002E1402">
              <w:rPr>
                <w:rFonts w:ascii="Calibri" w:hAnsi="Calibri" w:cs="Calibri"/>
                <w:b/>
                <w:bCs/>
                <w:color w:val="auto"/>
                <w:sz w:val="28"/>
                <w:lang w:val="en-US"/>
              </w:rPr>
              <w:t xml:space="preserve">: </w:t>
            </w:r>
            <w:r w:rsidR="002E1402" w:rsidRPr="002E1402">
              <w:rPr>
                <w:rFonts w:ascii="Calibri" w:hAnsi="Calibri" w:cs="Calibri"/>
                <w:color w:val="auto"/>
                <w:szCs w:val="22"/>
                <w:lang w:val="en-US"/>
              </w:rPr>
              <w:t>38% EAL, 30% SEND, 34% PP, 16% SEND + PP, 38% have less than 92% attendance</w:t>
            </w:r>
          </w:p>
          <w:tbl>
            <w:tblPr>
              <w:tblStyle w:val="TableGrid"/>
              <w:tblW w:w="9906" w:type="dxa"/>
              <w:tblLook w:val="04A0" w:firstRow="1" w:lastRow="0" w:firstColumn="1" w:lastColumn="0" w:noHBand="0" w:noVBand="1"/>
            </w:tblPr>
            <w:tblGrid>
              <w:gridCol w:w="1700"/>
              <w:gridCol w:w="1700"/>
              <w:gridCol w:w="1700"/>
              <w:gridCol w:w="1701"/>
              <w:gridCol w:w="3105"/>
            </w:tblGrid>
            <w:tr w:rsidR="002E1402" w:rsidRPr="002E1402" w14:paraId="538DC10A" w14:textId="77777777" w:rsidTr="002E1402">
              <w:trPr>
                <w:trHeight w:val="278"/>
              </w:trPr>
              <w:tc>
                <w:tcPr>
                  <w:tcW w:w="1700" w:type="dxa"/>
                  <w:shd w:val="clear" w:color="auto" w:fill="EAF1DD" w:themeFill="accent3" w:themeFillTint="33"/>
                </w:tcPr>
                <w:p w14:paraId="610305C6" w14:textId="4C015E1D" w:rsidR="00EE2859" w:rsidRPr="00EE2859" w:rsidRDefault="00EE2859" w:rsidP="00EE2859">
                  <w:pPr>
                    <w:suppressAutoHyphens w:val="0"/>
                    <w:autoSpaceDN/>
                    <w:spacing w:after="0" w:line="240" w:lineRule="auto"/>
                    <w:jc w:val="center"/>
                    <w:rPr>
                      <w:rFonts w:ascii="Calibri" w:hAnsi="Calibri" w:cs="Calibri"/>
                      <w:b/>
                      <w:bCs/>
                      <w:color w:val="auto"/>
                      <w:sz w:val="22"/>
                      <w:szCs w:val="20"/>
                      <w:lang w:val="en-US"/>
                    </w:rPr>
                  </w:pPr>
                  <w:r w:rsidRPr="00EE2859">
                    <w:rPr>
                      <w:rFonts w:ascii="Calibri" w:hAnsi="Calibri" w:cs="Calibri"/>
                      <w:b/>
                      <w:bCs/>
                      <w:color w:val="auto"/>
                      <w:sz w:val="22"/>
                      <w:szCs w:val="20"/>
                      <w:lang w:val="en-US"/>
                    </w:rPr>
                    <w:t>KS2 data</w:t>
                  </w:r>
                </w:p>
                <w:p w14:paraId="5F453827" w14:textId="017E2FF9" w:rsidR="00EE2859" w:rsidRPr="00EE2859" w:rsidRDefault="00EE2859" w:rsidP="00EE2859">
                  <w:pPr>
                    <w:suppressAutoHyphens w:val="0"/>
                    <w:autoSpaceDN/>
                    <w:spacing w:after="0" w:line="240" w:lineRule="auto"/>
                    <w:jc w:val="center"/>
                    <w:rPr>
                      <w:rFonts w:ascii="Calibri" w:hAnsi="Calibri" w:cs="Calibri"/>
                      <w:b/>
                      <w:bCs/>
                      <w:color w:val="auto"/>
                      <w:sz w:val="22"/>
                      <w:szCs w:val="20"/>
                      <w:lang w:val="en-US"/>
                    </w:rPr>
                  </w:pPr>
                  <w:r w:rsidRPr="00EE2859">
                    <w:rPr>
                      <w:rFonts w:ascii="Calibri" w:hAnsi="Calibri" w:cs="Calibri"/>
                      <w:b/>
                      <w:bCs/>
                      <w:color w:val="auto"/>
                      <w:sz w:val="22"/>
                      <w:szCs w:val="20"/>
                      <w:lang w:val="en-US"/>
                    </w:rPr>
                    <w:t>(21-22)</w:t>
                  </w:r>
                </w:p>
                <w:p w14:paraId="13883B76" w14:textId="0C48C89F" w:rsidR="002E1402" w:rsidRPr="002E1402" w:rsidRDefault="002E1402" w:rsidP="00EE2859">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56 children</w:t>
                  </w:r>
                </w:p>
              </w:tc>
              <w:tc>
                <w:tcPr>
                  <w:tcW w:w="1700" w:type="dxa"/>
                  <w:shd w:val="clear" w:color="auto" w:fill="EAF1DD" w:themeFill="accent3" w:themeFillTint="33"/>
                </w:tcPr>
                <w:p w14:paraId="6C5DDCCE" w14:textId="77777777" w:rsidR="002E1402" w:rsidRPr="002E1402" w:rsidRDefault="002E1402" w:rsidP="002E1402">
                  <w:pPr>
                    <w:suppressAutoHyphens w:val="0"/>
                    <w:autoSpaceDN/>
                    <w:spacing w:after="0" w:line="240" w:lineRule="auto"/>
                    <w:jc w:val="center"/>
                    <w:rPr>
                      <w:rFonts w:ascii="Calibri" w:hAnsi="Calibri" w:cs="Calibri"/>
                      <w:b/>
                      <w:bCs/>
                      <w:color w:val="auto"/>
                      <w:szCs w:val="22"/>
                      <w:lang w:val="en-US"/>
                    </w:rPr>
                  </w:pPr>
                  <w:r w:rsidRPr="002E1402">
                    <w:rPr>
                      <w:rFonts w:ascii="Calibri" w:hAnsi="Calibri" w:cs="Calibri"/>
                      <w:b/>
                      <w:bCs/>
                      <w:color w:val="auto"/>
                      <w:szCs w:val="22"/>
                      <w:lang w:val="en-US"/>
                    </w:rPr>
                    <w:t>SPAG</w:t>
                  </w:r>
                </w:p>
              </w:tc>
              <w:tc>
                <w:tcPr>
                  <w:tcW w:w="1700" w:type="dxa"/>
                  <w:shd w:val="clear" w:color="auto" w:fill="EAF1DD" w:themeFill="accent3" w:themeFillTint="33"/>
                </w:tcPr>
                <w:p w14:paraId="67ECBADA" w14:textId="77777777" w:rsidR="002E1402" w:rsidRPr="002E1402" w:rsidRDefault="002E1402" w:rsidP="002E1402">
                  <w:pPr>
                    <w:suppressAutoHyphens w:val="0"/>
                    <w:autoSpaceDN/>
                    <w:spacing w:after="0" w:line="240" w:lineRule="auto"/>
                    <w:jc w:val="center"/>
                    <w:rPr>
                      <w:rFonts w:ascii="Calibri" w:hAnsi="Calibri" w:cs="Calibri"/>
                      <w:b/>
                      <w:bCs/>
                      <w:color w:val="auto"/>
                      <w:szCs w:val="22"/>
                      <w:lang w:val="en-US"/>
                    </w:rPr>
                  </w:pPr>
                  <w:r w:rsidRPr="002E1402">
                    <w:rPr>
                      <w:rFonts w:ascii="Calibri" w:hAnsi="Calibri" w:cs="Calibri"/>
                      <w:b/>
                      <w:bCs/>
                      <w:color w:val="auto"/>
                      <w:szCs w:val="22"/>
                      <w:lang w:val="en-US"/>
                    </w:rPr>
                    <w:t>Reading</w:t>
                  </w:r>
                </w:p>
              </w:tc>
              <w:tc>
                <w:tcPr>
                  <w:tcW w:w="1701" w:type="dxa"/>
                  <w:shd w:val="clear" w:color="auto" w:fill="EAF1DD" w:themeFill="accent3" w:themeFillTint="33"/>
                </w:tcPr>
                <w:p w14:paraId="7FC92C4F" w14:textId="77777777" w:rsidR="002E1402" w:rsidRPr="002E1402" w:rsidRDefault="002E1402" w:rsidP="002E1402">
                  <w:pPr>
                    <w:suppressAutoHyphens w:val="0"/>
                    <w:autoSpaceDN/>
                    <w:spacing w:after="0" w:line="240" w:lineRule="auto"/>
                    <w:jc w:val="center"/>
                    <w:rPr>
                      <w:rFonts w:ascii="Calibri" w:hAnsi="Calibri" w:cs="Calibri"/>
                      <w:b/>
                      <w:bCs/>
                      <w:color w:val="auto"/>
                      <w:szCs w:val="22"/>
                      <w:lang w:val="en-US"/>
                    </w:rPr>
                  </w:pPr>
                  <w:r w:rsidRPr="002E1402">
                    <w:rPr>
                      <w:rFonts w:ascii="Calibri" w:hAnsi="Calibri" w:cs="Calibri"/>
                      <w:b/>
                      <w:bCs/>
                      <w:color w:val="auto"/>
                      <w:szCs w:val="22"/>
                      <w:lang w:val="en-US"/>
                    </w:rPr>
                    <w:t>Writing</w:t>
                  </w:r>
                </w:p>
              </w:tc>
              <w:tc>
                <w:tcPr>
                  <w:tcW w:w="3105" w:type="dxa"/>
                  <w:shd w:val="clear" w:color="auto" w:fill="EAF1DD" w:themeFill="accent3" w:themeFillTint="33"/>
                </w:tcPr>
                <w:p w14:paraId="63B5E136" w14:textId="77777777" w:rsidR="002E1402" w:rsidRPr="002E1402" w:rsidRDefault="002E1402" w:rsidP="002E1402">
                  <w:pPr>
                    <w:suppressAutoHyphens w:val="0"/>
                    <w:autoSpaceDN/>
                    <w:spacing w:after="0" w:line="240" w:lineRule="auto"/>
                    <w:jc w:val="center"/>
                    <w:rPr>
                      <w:rFonts w:ascii="Calibri" w:hAnsi="Calibri" w:cs="Calibri"/>
                      <w:b/>
                      <w:bCs/>
                      <w:color w:val="auto"/>
                      <w:szCs w:val="22"/>
                      <w:lang w:val="en-US"/>
                    </w:rPr>
                  </w:pPr>
                  <w:r w:rsidRPr="002E1402">
                    <w:rPr>
                      <w:rFonts w:ascii="Calibri" w:hAnsi="Calibri" w:cs="Calibri"/>
                      <w:b/>
                      <w:bCs/>
                      <w:color w:val="auto"/>
                      <w:szCs w:val="22"/>
                      <w:lang w:val="en-US"/>
                    </w:rPr>
                    <w:t>Maths</w:t>
                  </w:r>
                </w:p>
              </w:tc>
            </w:tr>
            <w:tr w:rsidR="002E1402" w:rsidRPr="002E1402" w14:paraId="421AB2FC" w14:textId="77777777" w:rsidTr="002E1402">
              <w:trPr>
                <w:trHeight w:val="260"/>
              </w:trPr>
              <w:tc>
                <w:tcPr>
                  <w:tcW w:w="1700" w:type="dxa"/>
                  <w:shd w:val="clear" w:color="auto" w:fill="EAF1DD" w:themeFill="accent3" w:themeFillTint="33"/>
                </w:tcPr>
                <w:p w14:paraId="0033701B" w14:textId="77777777" w:rsidR="002E1402" w:rsidRPr="002E1402" w:rsidRDefault="002E1402" w:rsidP="002E1402">
                  <w:pPr>
                    <w:suppressAutoHyphens w:val="0"/>
                    <w:autoSpaceDN/>
                    <w:spacing w:after="0" w:line="240" w:lineRule="auto"/>
                    <w:rPr>
                      <w:rFonts w:ascii="Calibri" w:hAnsi="Calibri" w:cs="Calibri"/>
                      <w:b/>
                      <w:bCs/>
                      <w:color w:val="auto"/>
                      <w:sz w:val="22"/>
                      <w:szCs w:val="20"/>
                      <w:lang w:val="en-US"/>
                    </w:rPr>
                  </w:pPr>
                  <w:r w:rsidRPr="002E1402">
                    <w:rPr>
                      <w:rFonts w:ascii="Calibri" w:hAnsi="Calibri" w:cs="Calibri"/>
                      <w:b/>
                      <w:bCs/>
                      <w:color w:val="auto"/>
                      <w:sz w:val="22"/>
                      <w:szCs w:val="20"/>
                      <w:lang w:val="en-US"/>
                    </w:rPr>
                    <w:t>EXS+</w:t>
                  </w:r>
                </w:p>
              </w:tc>
              <w:tc>
                <w:tcPr>
                  <w:tcW w:w="1700" w:type="dxa"/>
                </w:tcPr>
                <w:p w14:paraId="50607C9F"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63%</w:t>
                  </w:r>
                </w:p>
              </w:tc>
              <w:tc>
                <w:tcPr>
                  <w:tcW w:w="1700" w:type="dxa"/>
                </w:tcPr>
                <w:p w14:paraId="2099BE2D"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50%</w:t>
                  </w:r>
                </w:p>
              </w:tc>
              <w:tc>
                <w:tcPr>
                  <w:tcW w:w="1701" w:type="dxa"/>
                </w:tcPr>
                <w:p w14:paraId="4521811D"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46%</w:t>
                  </w:r>
                </w:p>
              </w:tc>
              <w:tc>
                <w:tcPr>
                  <w:tcW w:w="3105" w:type="dxa"/>
                </w:tcPr>
                <w:p w14:paraId="31631B4A"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66%</w:t>
                  </w:r>
                </w:p>
              </w:tc>
            </w:tr>
            <w:tr w:rsidR="002E1402" w:rsidRPr="002E1402" w14:paraId="278B770E" w14:textId="77777777" w:rsidTr="002E1402">
              <w:trPr>
                <w:trHeight w:val="260"/>
              </w:trPr>
              <w:tc>
                <w:tcPr>
                  <w:tcW w:w="1700" w:type="dxa"/>
                  <w:shd w:val="clear" w:color="auto" w:fill="EAF1DD" w:themeFill="accent3" w:themeFillTint="33"/>
                </w:tcPr>
                <w:p w14:paraId="155143DE" w14:textId="77777777" w:rsidR="002E1402" w:rsidRPr="002E1402" w:rsidRDefault="002E1402" w:rsidP="002E1402">
                  <w:pPr>
                    <w:suppressAutoHyphens w:val="0"/>
                    <w:autoSpaceDN/>
                    <w:spacing w:after="0" w:line="240" w:lineRule="auto"/>
                    <w:rPr>
                      <w:rFonts w:ascii="Calibri" w:hAnsi="Calibri" w:cs="Calibri"/>
                      <w:b/>
                      <w:bCs/>
                      <w:color w:val="auto"/>
                      <w:sz w:val="22"/>
                      <w:szCs w:val="20"/>
                      <w:lang w:val="en-US"/>
                    </w:rPr>
                  </w:pPr>
                  <w:r w:rsidRPr="002E1402">
                    <w:rPr>
                      <w:rFonts w:ascii="Calibri" w:hAnsi="Calibri" w:cs="Calibri"/>
                      <w:b/>
                      <w:bCs/>
                      <w:color w:val="auto"/>
                      <w:sz w:val="22"/>
                      <w:szCs w:val="20"/>
                      <w:lang w:val="en-US"/>
                    </w:rPr>
                    <w:t>GDS</w:t>
                  </w:r>
                </w:p>
              </w:tc>
              <w:tc>
                <w:tcPr>
                  <w:tcW w:w="1700" w:type="dxa"/>
                </w:tcPr>
                <w:p w14:paraId="69A558B6"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23%</w:t>
                  </w:r>
                </w:p>
              </w:tc>
              <w:tc>
                <w:tcPr>
                  <w:tcW w:w="1700" w:type="dxa"/>
                </w:tcPr>
                <w:p w14:paraId="07493FBF"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21%</w:t>
                  </w:r>
                </w:p>
              </w:tc>
              <w:tc>
                <w:tcPr>
                  <w:tcW w:w="1701" w:type="dxa"/>
                </w:tcPr>
                <w:p w14:paraId="201F3F02"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5%</w:t>
                  </w:r>
                </w:p>
              </w:tc>
              <w:tc>
                <w:tcPr>
                  <w:tcW w:w="3105" w:type="dxa"/>
                </w:tcPr>
                <w:p w14:paraId="69C0E12D"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20%</w:t>
                  </w:r>
                </w:p>
              </w:tc>
            </w:tr>
            <w:tr w:rsidR="002E1402" w:rsidRPr="002E1402" w14:paraId="7341D623" w14:textId="77777777" w:rsidTr="002E1402">
              <w:trPr>
                <w:trHeight w:val="260"/>
              </w:trPr>
              <w:tc>
                <w:tcPr>
                  <w:tcW w:w="9906" w:type="dxa"/>
                  <w:gridSpan w:val="5"/>
                  <w:shd w:val="clear" w:color="auto" w:fill="EAF1DD" w:themeFill="accent3" w:themeFillTint="33"/>
                </w:tcPr>
                <w:p w14:paraId="2C6329A8" w14:textId="77777777" w:rsidR="002E1402" w:rsidRPr="002E1402" w:rsidRDefault="002E1402" w:rsidP="002E1402">
                  <w:pPr>
                    <w:suppressAutoHyphens w:val="0"/>
                    <w:autoSpaceDN/>
                    <w:spacing w:after="0" w:line="240" w:lineRule="auto"/>
                    <w:rPr>
                      <w:rFonts w:ascii="Calibri" w:hAnsi="Calibri" w:cs="Calibri"/>
                      <w:b/>
                      <w:bCs/>
                      <w:color w:val="auto"/>
                      <w:sz w:val="22"/>
                      <w:szCs w:val="20"/>
                      <w:lang w:val="en-US"/>
                    </w:rPr>
                  </w:pPr>
                  <w:r w:rsidRPr="002E1402">
                    <w:rPr>
                      <w:rFonts w:ascii="Calibri" w:hAnsi="Calibri" w:cs="Calibri"/>
                      <w:b/>
                      <w:bCs/>
                      <w:color w:val="auto"/>
                      <w:sz w:val="22"/>
                      <w:szCs w:val="20"/>
                      <w:lang w:val="en-US"/>
                    </w:rPr>
                    <w:t xml:space="preserve">PUPIL PREMIUM: </w:t>
                  </w:r>
                  <w:r w:rsidRPr="002E1402">
                    <w:rPr>
                      <w:rFonts w:ascii="Calibri" w:hAnsi="Calibri" w:cs="Calibri"/>
                      <w:color w:val="auto"/>
                      <w:sz w:val="20"/>
                      <w:szCs w:val="18"/>
                      <w:lang w:val="en-US"/>
                    </w:rPr>
                    <w:t>(19 chn (34%) are PP. 12  (63%) of these have less than 92% attendance,  9 (47%) of them also have SEND)</w:t>
                  </w:r>
                </w:p>
              </w:tc>
            </w:tr>
            <w:tr w:rsidR="002E1402" w:rsidRPr="002E1402" w14:paraId="4E41943B" w14:textId="77777777" w:rsidTr="002E1402">
              <w:trPr>
                <w:trHeight w:val="260"/>
              </w:trPr>
              <w:tc>
                <w:tcPr>
                  <w:tcW w:w="1700" w:type="dxa"/>
                  <w:shd w:val="clear" w:color="auto" w:fill="EAF1DD" w:themeFill="accent3" w:themeFillTint="33"/>
                </w:tcPr>
                <w:p w14:paraId="3FC10130" w14:textId="77777777" w:rsidR="002E1402" w:rsidRPr="002E1402" w:rsidRDefault="002E1402" w:rsidP="002E1402">
                  <w:pPr>
                    <w:suppressAutoHyphens w:val="0"/>
                    <w:autoSpaceDN/>
                    <w:spacing w:after="0" w:line="240" w:lineRule="auto"/>
                    <w:rPr>
                      <w:rFonts w:ascii="Calibri" w:hAnsi="Calibri" w:cs="Calibri"/>
                      <w:b/>
                      <w:bCs/>
                      <w:color w:val="auto"/>
                      <w:sz w:val="22"/>
                      <w:szCs w:val="20"/>
                      <w:lang w:val="en-US"/>
                    </w:rPr>
                  </w:pPr>
                  <w:r w:rsidRPr="002E1402">
                    <w:rPr>
                      <w:rFonts w:ascii="Calibri" w:hAnsi="Calibri" w:cs="Calibri"/>
                      <w:b/>
                      <w:bCs/>
                      <w:color w:val="auto"/>
                      <w:sz w:val="22"/>
                      <w:szCs w:val="20"/>
                      <w:lang w:val="en-US"/>
                    </w:rPr>
                    <w:t>EXS+</w:t>
                  </w:r>
                </w:p>
              </w:tc>
              <w:tc>
                <w:tcPr>
                  <w:tcW w:w="1700" w:type="dxa"/>
                </w:tcPr>
                <w:p w14:paraId="6A576DAB" w14:textId="77777777" w:rsidR="002E1402" w:rsidRPr="002E1402" w:rsidRDefault="002E1402" w:rsidP="002E1402">
                  <w:pPr>
                    <w:suppressAutoHyphens w:val="0"/>
                    <w:autoSpaceDN/>
                    <w:spacing w:after="0" w:line="240" w:lineRule="auto"/>
                    <w:rPr>
                      <w:rFonts w:ascii="Calibri" w:hAnsi="Calibri" w:cs="Calibri"/>
                      <w:color w:val="auto"/>
                      <w:sz w:val="22"/>
                      <w:szCs w:val="20"/>
                      <w:lang w:val="en-US"/>
                    </w:rPr>
                  </w:pPr>
                  <w:r w:rsidRPr="002E1402">
                    <w:rPr>
                      <w:rFonts w:ascii="Calibri" w:hAnsi="Calibri" w:cs="Calibri"/>
                      <w:color w:val="auto"/>
                      <w:sz w:val="22"/>
                      <w:szCs w:val="20"/>
                      <w:lang w:val="en-US"/>
                    </w:rPr>
                    <w:t>42%</w:t>
                  </w:r>
                </w:p>
              </w:tc>
              <w:tc>
                <w:tcPr>
                  <w:tcW w:w="1700" w:type="dxa"/>
                </w:tcPr>
                <w:p w14:paraId="37173427"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42%</w:t>
                  </w:r>
                </w:p>
              </w:tc>
              <w:tc>
                <w:tcPr>
                  <w:tcW w:w="1701" w:type="dxa"/>
                </w:tcPr>
                <w:p w14:paraId="10389FC0"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37%</w:t>
                  </w:r>
                </w:p>
              </w:tc>
              <w:tc>
                <w:tcPr>
                  <w:tcW w:w="3105" w:type="dxa"/>
                </w:tcPr>
                <w:p w14:paraId="67554B95"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49%</w:t>
                  </w:r>
                </w:p>
              </w:tc>
            </w:tr>
            <w:tr w:rsidR="002E1402" w:rsidRPr="002E1402" w14:paraId="24117D67" w14:textId="77777777" w:rsidTr="002E1402">
              <w:trPr>
                <w:trHeight w:val="251"/>
              </w:trPr>
              <w:tc>
                <w:tcPr>
                  <w:tcW w:w="1700" w:type="dxa"/>
                  <w:shd w:val="clear" w:color="auto" w:fill="EAF1DD" w:themeFill="accent3" w:themeFillTint="33"/>
                </w:tcPr>
                <w:p w14:paraId="44E07400" w14:textId="77777777" w:rsidR="002E1402" w:rsidRPr="002E1402" w:rsidRDefault="002E1402" w:rsidP="002E1402">
                  <w:pPr>
                    <w:suppressAutoHyphens w:val="0"/>
                    <w:autoSpaceDN/>
                    <w:spacing w:after="0" w:line="240" w:lineRule="auto"/>
                    <w:rPr>
                      <w:rFonts w:ascii="Calibri" w:hAnsi="Calibri" w:cs="Calibri"/>
                      <w:b/>
                      <w:bCs/>
                      <w:color w:val="auto"/>
                      <w:sz w:val="22"/>
                      <w:szCs w:val="20"/>
                      <w:lang w:val="en-US"/>
                    </w:rPr>
                  </w:pPr>
                  <w:r w:rsidRPr="002E1402">
                    <w:rPr>
                      <w:rFonts w:ascii="Calibri" w:hAnsi="Calibri" w:cs="Calibri"/>
                      <w:b/>
                      <w:bCs/>
                      <w:color w:val="auto"/>
                      <w:sz w:val="22"/>
                      <w:szCs w:val="20"/>
                      <w:lang w:val="en-US"/>
                    </w:rPr>
                    <w:t>GDS</w:t>
                  </w:r>
                </w:p>
              </w:tc>
              <w:tc>
                <w:tcPr>
                  <w:tcW w:w="1700" w:type="dxa"/>
                </w:tcPr>
                <w:p w14:paraId="71CEF24C" w14:textId="77777777" w:rsidR="002E1402" w:rsidRPr="002E1402" w:rsidRDefault="002E1402" w:rsidP="002E1402">
                  <w:pPr>
                    <w:suppressAutoHyphens w:val="0"/>
                    <w:autoSpaceDN/>
                    <w:spacing w:after="0" w:line="240" w:lineRule="auto"/>
                    <w:rPr>
                      <w:rFonts w:ascii="Calibri" w:hAnsi="Calibri" w:cs="Calibri"/>
                      <w:color w:val="auto"/>
                      <w:sz w:val="22"/>
                      <w:szCs w:val="20"/>
                      <w:lang w:val="en-US"/>
                    </w:rPr>
                  </w:pPr>
                  <w:r w:rsidRPr="002E1402">
                    <w:rPr>
                      <w:rFonts w:ascii="Calibri" w:hAnsi="Calibri" w:cs="Calibri"/>
                      <w:color w:val="auto"/>
                      <w:sz w:val="22"/>
                      <w:szCs w:val="20"/>
                      <w:lang w:val="en-US"/>
                    </w:rPr>
                    <w:t>16%</w:t>
                  </w:r>
                </w:p>
              </w:tc>
              <w:tc>
                <w:tcPr>
                  <w:tcW w:w="1700" w:type="dxa"/>
                </w:tcPr>
                <w:p w14:paraId="2B3246B2"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16%</w:t>
                  </w:r>
                </w:p>
              </w:tc>
              <w:tc>
                <w:tcPr>
                  <w:tcW w:w="1701" w:type="dxa"/>
                </w:tcPr>
                <w:p w14:paraId="42CEE285"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0%</w:t>
                  </w:r>
                </w:p>
              </w:tc>
              <w:tc>
                <w:tcPr>
                  <w:tcW w:w="3105" w:type="dxa"/>
                </w:tcPr>
                <w:p w14:paraId="15D4E994" w14:textId="77777777" w:rsidR="002E1402" w:rsidRPr="002E1402" w:rsidRDefault="002E1402" w:rsidP="002E1402">
                  <w:pPr>
                    <w:suppressAutoHyphens w:val="0"/>
                    <w:autoSpaceDN/>
                    <w:spacing w:after="0" w:line="240" w:lineRule="auto"/>
                    <w:jc w:val="center"/>
                    <w:rPr>
                      <w:rFonts w:ascii="Calibri" w:hAnsi="Calibri" w:cs="Calibri"/>
                      <w:color w:val="auto"/>
                      <w:sz w:val="22"/>
                      <w:szCs w:val="20"/>
                      <w:lang w:val="en-US"/>
                    </w:rPr>
                  </w:pPr>
                  <w:r w:rsidRPr="002E1402">
                    <w:rPr>
                      <w:rFonts w:ascii="Calibri" w:hAnsi="Calibri" w:cs="Calibri"/>
                      <w:color w:val="auto"/>
                      <w:sz w:val="22"/>
                      <w:szCs w:val="20"/>
                      <w:lang w:val="en-US"/>
                    </w:rPr>
                    <w:t>11%</w:t>
                  </w:r>
                </w:p>
              </w:tc>
            </w:tr>
          </w:tbl>
          <w:p w14:paraId="4E7BB61C" w14:textId="77777777" w:rsidR="004250DD" w:rsidRDefault="004250DD" w:rsidP="001671ED">
            <w:pPr>
              <w:spacing w:before="60"/>
              <w:rPr>
                <w:lang w:eastAsia="en-US"/>
              </w:rPr>
            </w:pPr>
            <w:r>
              <w:rPr>
                <w:lang w:eastAsia="en-US"/>
              </w:rPr>
              <w:t xml:space="preserve">The data above is what the children were awarded at the end of the key stage. This is statutory assessment data. </w:t>
            </w:r>
          </w:p>
          <w:p w14:paraId="21DD1D62" w14:textId="61D2D588" w:rsidR="00A86CA2" w:rsidRDefault="004250DD" w:rsidP="001671ED">
            <w:pPr>
              <w:spacing w:before="60"/>
              <w:rPr>
                <w:lang w:eastAsia="en-US"/>
              </w:rPr>
            </w:pPr>
            <w:r>
              <w:rPr>
                <w:lang w:eastAsia="en-US"/>
              </w:rPr>
              <w:t xml:space="preserve">Teachers attend termly pupil progress meetings with a leader in the school to track pupil progress. Guildford Grove uses FFT 50 targets to support target setting. Targets are set by teachers, but they always refer to the FFT targets. FFT does not use contextualised information so it would inappropriate to use these in isolation. </w:t>
            </w:r>
          </w:p>
          <w:p w14:paraId="7056A1DD" w14:textId="5D4972AB" w:rsidR="004250DD" w:rsidRPr="00A86CA2" w:rsidRDefault="004250DD" w:rsidP="001671ED">
            <w:pPr>
              <w:spacing w:before="60"/>
              <w:rPr>
                <w:lang w:eastAsia="en-US"/>
              </w:rPr>
            </w:pPr>
            <w:r>
              <w:rPr>
                <w:lang w:eastAsia="en-US"/>
              </w:rPr>
              <w:t>Pupils complete standardised assessments at the end of every term and this information, alongside teacher knowledge, is used to generate pupil outcomes for the end of the year.</w:t>
            </w:r>
          </w:p>
          <w:p w14:paraId="4ABA7D5D" w14:textId="4CD7795A" w:rsidR="00554E07" w:rsidRDefault="00554E07" w:rsidP="00EB09BC">
            <w:pPr>
              <w:rPr>
                <w:i/>
                <w:iCs/>
                <w:color w:val="auto"/>
                <w:lang w:eastAsia="en-US"/>
              </w:rPr>
            </w:pPr>
            <w:r w:rsidRPr="00554E07">
              <w:rPr>
                <w:i/>
                <w:iCs/>
                <w:noProof/>
                <w:color w:val="auto"/>
                <w:lang w:eastAsia="en-US"/>
              </w:rPr>
              <w:lastRenderedPageBreak/>
              <w:drawing>
                <wp:inline distT="0" distB="0" distL="0" distR="0" wp14:anchorId="01575042" wp14:editId="0DAEB04C">
                  <wp:extent cx="6029960" cy="165544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029960" cy="1655445"/>
                          </a:xfrm>
                          <a:prstGeom prst="rect">
                            <a:avLst/>
                          </a:prstGeom>
                        </pic:spPr>
                      </pic:pic>
                    </a:graphicData>
                  </a:graphic>
                </wp:inline>
              </w:drawing>
            </w:r>
          </w:p>
          <w:p w14:paraId="5023926C" w14:textId="47670E34" w:rsidR="000A187A" w:rsidRPr="00870FE3" w:rsidRDefault="000A187A" w:rsidP="00EB09BC">
            <w:pPr>
              <w:rPr>
                <w:i/>
                <w:iCs/>
                <w:color w:val="auto"/>
                <w:lang w:eastAsia="en-US"/>
              </w:rPr>
            </w:pPr>
          </w:p>
        </w:tc>
      </w:tr>
      <w:tr w:rsidR="00A51F41" w:rsidRPr="00361231" w14:paraId="2A5CCB33" w14:textId="77777777" w:rsidTr="00A51F41">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98C239" w14:textId="4D2879FB" w:rsidR="004250DD" w:rsidRDefault="004250DD" w:rsidP="004250DD">
            <w:pPr>
              <w:rPr>
                <w:i/>
                <w:iCs/>
                <w:color w:val="auto"/>
                <w:lang w:eastAsia="en-US"/>
              </w:rPr>
            </w:pPr>
            <w:r w:rsidRPr="000A187A">
              <w:rPr>
                <w:b/>
                <w:bCs/>
              </w:rPr>
              <w:lastRenderedPageBreak/>
              <w:t>Assessment of intended outcomes from previous pupil premium strategy plan:</w:t>
            </w:r>
          </w:p>
          <w:p w14:paraId="4880F9AE" w14:textId="66119FB3" w:rsidR="00A51F41" w:rsidRPr="00A51F41" w:rsidRDefault="00A51F41" w:rsidP="004250DD">
            <w:pPr>
              <w:pStyle w:val="TableRowCentered"/>
              <w:numPr>
                <w:ilvl w:val="0"/>
                <w:numId w:val="19"/>
              </w:numPr>
              <w:jc w:val="left"/>
              <w:rPr>
                <w:b/>
                <w:bCs/>
                <w:i/>
                <w:iCs/>
                <w:szCs w:val="24"/>
                <w:lang w:eastAsia="en-US"/>
              </w:rPr>
            </w:pPr>
            <w:r w:rsidRPr="00A51F41">
              <w:rPr>
                <w:b/>
                <w:bCs/>
                <w:i/>
                <w:iCs/>
                <w:szCs w:val="24"/>
                <w:lang w:eastAsia="en-US"/>
              </w:rPr>
              <w:t xml:space="preserve">To ensure high quality teaching for all pupils. </w:t>
            </w:r>
          </w:p>
          <w:p w14:paraId="32B49C0C" w14:textId="77777777" w:rsidR="00A51F41" w:rsidRPr="000A187A" w:rsidRDefault="00A51F41" w:rsidP="00A51F41">
            <w:pPr>
              <w:pStyle w:val="ListParagraph"/>
              <w:numPr>
                <w:ilvl w:val="0"/>
                <w:numId w:val="20"/>
              </w:numPr>
              <w:rPr>
                <w:i/>
                <w:iCs/>
                <w:sz w:val="22"/>
                <w:szCs w:val="22"/>
                <w:lang w:eastAsia="en-US"/>
              </w:rPr>
            </w:pPr>
            <w:r w:rsidRPr="000A187A">
              <w:rPr>
                <w:sz w:val="22"/>
                <w:szCs w:val="22"/>
                <w:lang w:eastAsia="en-US"/>
              </w:rPr>
              <w:t>Teachers consistently use SIMS as the primary way to record assessments and track pupil progress. Moderation took place in autumn and summer to support teacher assessed judgements.</w:t>
            </w:r>
          </w:p>
          <w:p w14:paraId="3F57AC24" w14:textId="77777777" w:rsidR="00A51F41" w:rsidRPr="000A187A" w:rsidRDefault="00A51F41" w:rsidP="00A51F41">
            <w:pPr>
              <w:pStyle w:val="ListParagraph"/>
              <w:numPr>
                <w:ilvl w:val="0"/>
                <w:numId w:val="20"/>
              </w:numPr>
              <w:rPr>
                <w:i/>
                <w:iCs/>
                <w:sz w:val="22"/>
                <w:szCs w:val="22"/>
                <w:lang w:eastAsia="en-US"/>
              </w:rPr>
            </w:pPr>
            <w:r w:rsidRPr="000A187A">
              <w:rPr>
                <w:sz w:val="22"/>
                <w:szCs w:val="22"/>
                <w:lang w:eastAsia="en-US"/>
              </w:rPr>
              <w:t>Zones of regulation established across the school with all staff having an increased awareness of their use and consistency in language. It has been especially effective as a tool to use in small group or 1:1 with an SEMH focus.</w:t>
            </w:r>
          </w:p>
          <w:p w14:paraId="0E84BC4F" w14:textId="05A102EE" w:rsidR="00A51F41" w:rsidRPr="001D2D53" w:rsidRDefault="000A187A" w:rsidP="00A51F41">
            <w:pPr>
              <w:pStyle w:val="ListParagraph"/>
              <w:numPr>
                <w:ilvl w:val="0"/>
                <w:numId w:val="20"/>
              </w:numPr>
              <w:rPr>
                <w:i/>
                <w:iCs/>
                <w:sz w:val="22"/>
                <w:szCs w:val="22"/>
                <w:lang w:eastAsia="en-US"/>
              </w:rPr>
            </w:pPr>
            <w:r w:rsidRPr="001D2D53">
              <w:rPr>
                <w:sz w:val="22"/>
                <w:szCs w:val="22"/>
                <w:lang w:eastAsia="en-US"/>
              </w:rPr>
              <w:t>Previous whole school curriculum was reviewed and a new curriculum has been re-written</w:t>
            </w:r>
            <w:r w:rsidR="00206ED7" w:rsidRPr="001D2D53">
              <w:rPr>
                <w:sz w:val="22"/>
                <w:szCs w:val="22"/>
                <w:lang w:eastAsia="en-US"/>
              </w:rPr>
              <w:t xml:space="preserve"> and updated</w:t>
            </w:r>
            <w:r w:rsidRPr="001D2D53">
              <w:rPr>
                <w:sz w:val="22"/>
                <w:szCs w:val="22"/>
                <w:lang w:eastAsia="en-US"/>
              </w:rPr>
              <w:t xml:space="preserve"> reflecting the</w:t>
            </w:r>
            <w:r w:rsidR="00206ED7" w:rsidRPr="001D2D53">
              <w:rPr>
                <w:sz w:val="22"/>
                <w:szCs w:val="22"/>
                <w:lang w:eastAsia="en-US"/>
              </w:rPr>
              <w:t xml:space="preserve"> diverse community of the school</w:t>
            </w:r>
          </w:p>
          <w:p w14:paraId="094DA705" w14:textId="333D2724" w:rsidR="00255964" w:rsidRPr="000A187A" w:rsidRDefault="00255964" w:rsidP="00A51F41">
            <w:pPr>
              <w:pStyle w:val="ListParagraph"/>
              <w:numPr>
                <w:ilvl w:val="0"/>
                <w:numId w:val="20"/>
              </w:numPr>
              <w:rPr>
                <w:i/>
                <w:iCs/>
                <w:sz w:val="22"/>
                <w:szCs w:val="22"/>
                <w:lang w:eastAsia="en-US"/>
              </w:rPr>
            </w:pPr>
            <w:r w:rsidRPr="000A187A">
              <w:rPr>
                <w:sz w:val="22"/>
                <w:szCs w:val="22"/>
                <w:lang w:eastAsia="en-US"/>
              </w:rPr>
              <w:t>EYFS play plan</w:t>
            </w:r>
            <w:r w:rsidR="00206ED7">
              <w:rPr>
                <w:sz w:val="22"/>
                <w:szCs w:val="22"/>
                <w:lang w:eastAsia="en-US"/>
              </w:rPr>
              <w:t xml:space="preserve"> put</w:t>
            </w:r>
            <w:r w:rsidRPr="000A187A">
              <w:rPr>
                <w:sz w:val="22"/>
                <w:szCs w:val="22"/>
                <w:lang w:eastAsia="en-US"/>
              </w:rPr>
              <w:t xml:space="preserve"> in place and adapted to include learning from a greater number of curriculum areas.</w:t>
            </w:r>
          </w:p>
          <w:p w14:paraId="7A863244" w14:textId="77777777" w:rsidR="00206ED7" w:rsidRPr="00206ED7" w:rsidRDefault="00255964" w:rsidP="00206ED7">
            <w:pPr>
              <w:pStyle w:val="ListParagraph"/>
              <w:numPr>
                <w:ilvl w:val="0"/>
                <w:numId w:val="20"/>
              </w:numPr>
              <w:rPr>
                <w:i/>
                <w:iCs/>
                <w:lang w:eastAsia="en-US"/>
              </w:rPr>
            </w:pPr>
            <w:r w:rsidRPr="000A187A">
              <w:rPr>
                <w:sz w:val="22"/>
                <w:szCs w:val="22"/>
                <w:lang w:eastAsia="en-US"/>
              </w:rPr>
              <w:t>Digital resources such as Espresso used to support individual and whole class teaching across all subjects.</w:t>
            </w:r>
          </w:p>
          <w:p w14:paraId="63CB7E87" w14:textId="3185F148" w:rsidR="000A187A" w:rsidRPr="00206ED7" w:rsidRDefault="000A187A" w:rsidP="00206ED7">
            <w:pPr>
              <w:pStyle w:val="ListParagraph"/>
              <w:numPr>
                <w:ilvl w:val="0"/>
                <w:numId w:val="20"/>
              </w:numPr>
              <w:rPr>
                <w:i/>
                <w:iCs/>
                <w:lang w:eastAsia="en-US"/>
              </w:rPr>
            </w:pPr>
            <w:r w:rsidRPr="00206ED7">
              <w:rPr>
                <w:sz w:val="22"/>
              </w:rPr>
              <w:t xml:space="preserve">Bought into Whiteknights high level of support package to analyse teaching of phonics. Current teaching of phonics is consistent within year groups but not across the school. Some different strategies and resources being used. </w:t>
            </w:r>
          </w:p>
          <w:p w14:paraId="16F75AA3" w14:textId="45B91BD0" w:rsidR="000A187A" w:rsidRPr="00206ED7" w:rsidRDefault="000A187A" w:rsidP="00206ED7">
            <w:pPr>
              <w:pStyle w:val="ListParagraph"/>
              <w:numPr>
                <w:ilvl w:val="0"/>
                <w:numId w:val="20"/>
              </w:numPr>
              <w:rPr>
                <w:rFonts w:cs="Arial"/>
                <w:color w:val="auto"/>
                <w:sz w:val="22"/>
                <w:szCs w:val="22"/>
              </w:rPr>
            </w:pPr>
            <w:r w:rsidRPr="00EE2781">
              <w:rPr>
                <w:rFonts w:cs="Arial"/>
                <w:color w:val="auto"/>
                <w:sz w:val="22"/>
                <w:szCs w:val="22"/>
              </w:rPr>
              <w:t>Subject leaders led CPD centred on how to teach grammar objectives during the writing process. COVID catch-up teacher is being used in high priority year groups to help cover gaps in phonics and writing.</w:t>
            </w:r>
          </w:p>
        </w:tc>
      </w:tr>
      <w:tr w:rsidR="00A51F41" w:rsidRPr="00361231" w14:paraId="58AB4CC8" w14:textId="77777777" w:rsidTr="00A51F41">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EC2EE8" w14:textId="07702B1F" w:rsidR="00A51F41" w:rsidRDefault="00A51F41" w:rsidP="00A51F41">
            <w:pPr>
              <w:pStyle w:val="1bodycopy"/>
              <w:numPr>
                <w:ilvl w:val="0"/>
                <w:numId w:val="19"/>
              </w:numPr>
              <w:tabs>
                <w:tab w:val="left" w:pos="1110"/>
              </w:tabs>
              <w:spacing w:after="0"/>
              <w:rPr>
                <w:rFonts w:eastAsia="Times New Roman"/>
                <w:b/>
                <w:bCs/>
                <w:i/>
                <w:iCs/>
                <w:color w:val="0D0D0D"/>
                <w:sz w:val="24"/>
                <w:lang w:val="en-GB"/>
              </w:rPr>
            </w:pPr>
            <w:r w:rsidRPr="00A51F41">
              <w:rPr>
                <w:rFonts w:eastAsia="Times New Roman"/>
                <w:b/>
                <w:bCs/>
                <w:i/>
                <w:iCs/>
                <w:color w:val="0D0D0D"/>
                <w:sz w:val="24"/>
                <w:lang w:val="en-GB"/>
              </w:rPr>
              <w:t xml:space="preserve">To ensure the mental health and well-being of our families and ensure children are ready and prepared to learn. </w:t>
            </w:r>
          </w:p>
          <w:p w14:paraId="3A85675D" w14:textId="77777777" w:rsidR="00255964" w:rsidRPr="000A187A" w:rsidRDefault="00255964" w:rsidP="00255964">
            <w:pPr>
              <w:pStyle w:val="1bodycopy"/>
              <w:numPr>
                <w:ilvl w:val="0"/>
                <w:numId w:val="21"/>
              </w:numPr>
              <w:tabs>
                <w:tab w:val="left" w:pos="1110"/>
              </w:tabs>
              <w:spacing w:after="0"/>
              <w:rPr>
                <w:rFonts w:eastAsia="Times New Roman"/>
                <w:color w:val="0D0D0D"/>
                <w:sz w:val="22"/>
                <w:szCs w:val="22"/>
                <w:lang w:val="en-GB"/>
              </w:rPr>
            </w:pPr>
            <w:r w:rsidRPr="000A187A">
              <w:rPr>
                <w:rFonts w:eastAsia="Times New Roman"/>
                <w:color w:val="0D0D0D"/>
                <w:sz w:val="22"/>
                <w:szCs w:val="22"/>
                <w:lang w:val="en-GB"/>
              </w:rPr>
              <w:t>15 children received consistent ELSA provision across the year to support personalised SEMH targets.</w:t>
            </w:r>
          </w:p>
          <w:p w14:paraId="5253F851" w14:textId="33F3AACD" w:rsidR="00255964" w:rsidRDefault="00255964" w:rsidP="00255964">
            <w:pPr>
              <w:pStyle w:val="1bodycopy"/>
              <w:numPr>
                <w:ilvl w:val="0"/>
                <w:numId w:val="21"/>
              </w:numPr>
              <w:tabs>
                <w:tab w:val="left" w:pos="1110"/>
              </w:tabs>
              <w:spacing w:after="0"/>
              <w:rPr>
                <w:rFonts w:eastAsia="Times New Roman"/>
                <w:color w:val="0D0D0D"/>
                <w:sz w:val="22"/>
                <w:szCs w:val="22"/>
                <w:lang w:val="en-GB"/>
              </w:rPr>
            </w:pPr>
            <w:r w:rsidRPr="000A187A">
              <w:rPr>
                <w:rFonts w:eastAsia="Times New Roman"/>
                <w:color w:val="0D0D0D"/>
                <w:sz w:val="22"/>
                <w:szCs w:val="22"/>
                <w:lang w:val="en-GB"/>
              </w:rPr>
              <w:t xml:space="preserve"> Provisions such as therapeutic story writing were unable to consi</w:t>
            </w:r>
            <w:r w:rsidR="000A187A" w:rsidRPr="000A187A">
              <w:rPr>
                <w:rFonts w:eastAsia="Times New Roman"/>
                <w:color w:val="0D0D0D"/>
                <w:sz w:val="22"/>
                <w:szCs w:val="22"/>
                <w:lang w:val="en-GB"/>
              </w:rPr>
              <w:t>st</w:t>
            </w:r>
            <w:r w:rsidRPr="000A187A">
              <w:rPr>
                <w:rFonts w:eastAsia="Times New Roman"/>
                <w:color w:val="0D0D0D"/>
                <w:sz w:val="22"/>
                <w:szCs w:val="22"/>
                <w:lang w:val="en-GB"/>
              </w:rPr>
              <w:t>ently take place due to staff illness.</w:t>
            </w:r>
          </w:p>
          <w:p w14:paraId="3F2CAB84" w14:textId="77777777" w:rsidR="00EE2781" w:rsidRDefault="00EE2781" w:rsidP="00EE2781">
            <w:pPr>
              <w:pStyle w:val="TableRowCentered"/>
              <w:numPr>
                <w:ilvl w:val="0"/>
                <w:numId w:val="21"/>
              </w:numPr>
              <w:jc w:val="left"/>
              <w:rPr>
                <w:sz w:val="22"/>
              </w:rPr>
            </w:pPr>
            <w:r w:rsidRPr="00C75EDB">
              <w:rPr>
                <w:sz w:val="22"/>
              </w:rPr>
              <w:t>HSLW worker and assistant have supported a significant number of families across the year. Both</w:t>
            </w:r>
            <w:r>
              <w:rPr>
                <w:sz w:val="22"/>
              </w:rPr>
              <w:t xml:space="preserve"> high profile families with safeguarding concerns and families who need parenting support or financial advice. </w:t>
            </w:r>
          </w:p>
          <w:p w14:paraId="33D049C8" w14:textId="77777777" w:rsidR="00A51F41" w:rsidRPr="00206ED7" w:rsidRDefault="00A51F41" w:rsidP="00206ED7">
            <w:pPr>
              <w:pStyle w:val="1bodycopy"/>
              <w:tabs>
                <w:tab w:val="left" w:pos="1110"/>
              </w:tabs>
              <w:spacing w:after="0"/>
              <w:ind w:left="1137"/>
              <w:rPr>
                <w:rFonts w:eastAsia="Times New Roman"/>
                <w:color w:val="0D0D0D"/>
                <w:sz w:val="22"/>
                <w:szCs w:val="22"/>
                <w:lang w:val="en-GB"/>
              </w:rPr>
            </w:pPr>
          </w:p>
        </w:tc>
      </w:tr>
      <w:tr w:rsidR="00A51F41" w:rsidRPr="00361231" w14:paraId="27ED5C16" w14:textId="77777777" w:rsidTr="00A51F41">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AD674D" w14:textId="7E27D3C9" w:rsidR="00A51F41" w:rsidRPr="00A51F41" w:rsidRDefault="00A51F41" w:rsidP="00EE2781">
            <w:pPr>
              <w:pStyle w:val="1bodycopy"/>
              <w:numPr>
                <w:ilvl w:val="0"/>
                <w:numId w:val="19"/>
              </w:numPr>
              <w:tabs>
                <w:tab w:val="left" w:pos="1110"/>
              </w:tabs>
              <w:spacing w:after="0"/>
              <w:rPr>
                <w:rFonts w:eastAsia="Times New Roman"/>
                <w:b/>
                <w:bCs/>
                <w:i/>
                <w:iCs/>
                <w:color w:val="0D0D0D"/>
                <w:sz w:val="24"/>
                <w:lang w:val="en-GB"/>
              </w:rPr>
            </w:pPr>
            <w:r w:rsidRPr="00A51F41">
              <w:rPr>
                <w:rFonts w:eastAsia="Times New Roman"/>
                <w:b/>
                <w:bCs/>
                <w:i/>
                <w:iCs/>
                <w:color w:val="0D0D0D"/>
                <w:sz w:val="24"/>
                <w:lang w:val="en-GB"/>
              </w:rPr>
              <w:t xml:space="preserve">For pupils with multiple barriers, particularly SEND, to make good or accelerated progress from their starting points. </w:t>
            </w:r>
          </w:p>
          <w:p w14:paraId="283ECF02" w14:textId="69816B22" w:rsidR="000A187A" w:rsidRPr="000A187A" w:rsidRDefault="000A187A" w:rsidP="006767D5">
            <w:pPr>
              <w:pStyle w:val="ListParagraph"/>
              <w:numPr>
                <w:ilvl w:val="0"/>
                <w:numId w:val="26"/>
              </w:numPr>
              <w:spacing w:before="60"/>
              <w:rPr>
                <w:sz w:val="22"/>
                <w:szCs w:val="22"/>
                <w:lang w:eastAsia="en-US"/>
              </w:rPr>
            </w:pPr>
            <w:r w:rsidRPr="000A187A">
              <w:rPr>
                <w:sz w:val="22"/>
                <w:szCs w:val="22"/>
                <w:lang w:eastAsia="en-US"/>
              </w:rPr>
              <w:t xml:space="preserve">Some small group and targeted interventions have been interrupted by Covid due to cover plans. </w:t>
            </w:r>
          </w:p>
          <w:p w14:paraId="045DEFB9" w14:textId="77777777" w:rsidR="00A51F41" w:rsidRPr="000A187A" w:rsidRDefault="000A187A" w:rsidP="006767D5">
            <w:pPr>
              <w:pStyle w:val="ListParagraph"/>
              <w:numPr>
                <w:ilvl w:val="0"/>
                <w:numId w:val="26"/>
              </w:numPr>
              <w:spacing w:before="60"/>
              <w:rPr>
                <w:i/>
                <w:iCs/>
                <w:sz w:val="22"/>
                <w:szCs w:val="22"/>
                <w:lang w:eastAsia="en-US"/>
              </w:rPr>
            </w:pPr>
            <w:r w:rsidRPr="000A187A">
              <w:rPr>
                <w:sz w:val="22"/>
                <w:szCs w:val="22"/>
                <w:lang w:eastAsia="en-US"/>
              </w:rPr>
              <w:lastRenderedPageBreak/>
              <w:t>SEND team have reviewed provision during SEND progress meetings. Pupils have made progress in line with their targets on provision maps.</w:t>
            </w:r>
          </w:p>
          <w:p w14:paraId="120A1D82" w14:textId="77777777" w:rsidR="000A187A" w:rsidRPr="000A187A" w:rsidRDefault="000A187A" w:rsidP="006767D5">
            <w:pPr>
              <w:pStyle w:val="ListParagraph"/>
              <w:numPr>
                <w:ilvl w:val="0"/>
                <w:numId w:val="26"/>
              </w:numPr>
              <w:rPr>
                <w:rFonts w:cs="Arial"/>
                <w:color w:val="auto"/>
                <w:sz w:val="22"/>
                <w:szCs w:val="22"/>
              </w:rPr>
            </w:pPr>
            <w:r w:rsidRPr="000A187A">
              <w:rPr>
                <w:rFonts w:cs="Arial"/>
                <w:color w:val="auto"/>
                <w:sz w:val="22"/>
                <w:szCs w:val="22"/>
              </w:rPr>
              <w:t xml:space="preserve">Targeted reading interventions have been implemented across the different phases. The continuation of Fresh Start has supported children in year 5 and 6. A tailored approach using resources from the Literacy Shed has been used to support pupils in year 3 and 4. Better Reading Partnership has supported pupils in year 1 and 2.  </w:t>
            </w:r>
          </w:p>
          <w:p w14:paraId="74404A24" w14:textId="77777777" w:rsidR="00206ED7" w:rsidRDefault="000A187A" w:rsidP="00206ED7">
            <w:pPr>
              <w:pStyle w:val="ListParagraph"/>
              <w:numPr>
                <w:ilvl w:val="0"/>
                <w:numId w:val="26"/>
              </w:numPr>
              <w:rPr>
                <w:rFonts w:cs="Arial"/>
                <w:color w:val="auto"/>
                <w:sz w:val="22"/>
                <w:szCs w:val="22"/>
              </w:rPr>
            </w:pPr>
            <w:r w:rsidRPr="000A187A">
              <w:rPr>
                <w:rFonts w:cs="Arial"/>
                <w:color w:val="auto"/>
                <w:sz w:val="22"/>
                <w:szCs w:val="22"/>
              </w:rPr>
              <w:t>COVID catch-up teacher is being used in high priority year groups to help cover gaps in phonics and writing.</w:t>
            </w:r>
          </w:p>
          <w:p w14:paraId="55C625FF" w14:textId="77777777" w:rsidR="00206ED7" w:rsidRPr="00206ED7" w:rsidRDefault="00EE2781" w:rsidP="00206ED7">
            <w:pPr>
              <w:pStyle w:val="ListParagraph"/>
              <w:numPr>
                <w:ilvl w:val="0"/>
                <w:numId w:val="26"/>
              </w:numPr>
              <w:rPr>
                <w:rFonts w:cs="Arial"/>
                <w:color w:val="auto"/>
                <w:sz w:val="22"/>
                <w:szCs w:val="22"/>
              </w:rPr>
            </w:pPr>
            <w:r w:rsidRPr="00206ED7">
              <w:rPr>
                <w:sz w:val="22"/>
              </w:rPr>
              <w:t>Classes from across the school have used widget provision to support SEND, EAL and lower ability pupils in accessing the curriculum in-line with Lighthouse provision. Evidence from lesson observations.</w:t>
            </w:r>
          </w:p>
          <w:p w14:paraId="227238AA" w14:textId="77777777" w:rsidR="00206ED7" w:rsidRPr="00206ED7" w:rsidRDefault="00686007" w:rsidP="00206ED7">
            <w:pPr>
              <w:pStyle w:val="ListParagraph"/>
              <w:numPr>
                <w:ilvl w:val="0"/>
                <w:numId w:val="26"/>
              </w:numPr>
              <w:rPr>
                <w:rFonts w:cs="Arial"/>
                <w:color w:val="auto"/>
                <w:sz w:val="22"/>
                <w:szCs w:val="22"/>
              </w:rPr>
            </w:pPr>
            <w:r w:rsidRPr="00206ED7">
              <w:rPr>
                <w:sz w:val="22"/>
              </w:rPr>
              <w:t>SEND review and behaviour meetings have been carried out for key children across the year.</w:t>
            </w:r>
          </w:p>
          <w:p w14:paraId="1D60DC3A" w14:textId="3F2C60F0" w:rsidR="000A187A" w:rsidRPr="00570A0B" w:rsidRDefault="00686007" w:rsidP="00570A0B">
            <w:pPr>
              <w:pStyle w:val="ListParagraph"/>
              <w:numPr>
                <w:ilvl w:val="0"/>
                <w:numId w:val="26"/>
              </w:numPr>
              <w:rPr>
                <w:rFonts w:cs="Arial"/>
                <w:color w:val="auto"/>
                <w:sz w:val="22"/>
                <w:szCs w:val="22"/>
              </w:rPr>
            </w:pPr>
            <w:r w:rsidRPr="00206ED7">
              <w:rPr>
                <w:sz w:val="22"/>
              </w:rPr>
              <w:t xml:space="preserve">These meetings have supported families in implementing behaviour strategies at home, making referrals to additional services where needed as well as supporting the child be more successful in school and reducing their risk of exclusion. </w:t>
            </w:r>
          </w:p>
        </w:tc>
      </w:tr>
      <w:tr w:rsidR="00A51F41" w:rsidRPr="00361231" w14:paraId="74096D8F" w14:textId="77777777" w:rsidTr="00A51F41">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F2889D" w14:textId="184DF4FC" w:rsidR="00A51F41" w:rsidRDefault="00A51F41" w:rsidP="00A51F41">
            <w:pPr>
              <w:pStyle w:val="1bodycopy"/>
              <w:numPr>
                <w:ilvl w:val="0"/>
                <w:numId w:val="19"/>
              </w:numPr>
              <w:tabs>
                <w:tab w:val="left" w:pos="1110"/>
              </w:tabs>
              <w:spacing w:after="0"/>
              <w:rPr>
                <w:rFonts w:eastAsia="Times New Roman"/>
                <w:b/>
                <w:bCs/>
                <w:i/>
                <w:iCs/>
                <w:color w:val="0D0D0D"/>
                <w:sz w:val="24"/>
                <w:lang w:val="en-GB"/>
              </w:rPr>
            </w:pPr>
            <w:r w:rsidRPr="00A51F41">
              <w:rPr>
                <w:rFonts w:eastAsia="Times New Roman"/>
                <w:b/>
                <w:bCs/>
                <w:i/>
                <w:iCs/>
                <w:color w:val="0D0D0D"/>
                <w:sz w:val="24"/>
                <w:lang w:val="en-GB"/>
              </w:rPr>
              <w:lastRenderedPageBreak/>
              <w:t xml:space="preserve">To increase the engagement of all parents in school life at Guildford Grove but particularly our disadvantaged children. </w:t>
            </w:r>
          </w:p>
          <w:p w14:paraId="3B74776B" w14:textId="77777777" w:rsidR="00B865BA" w:rsidRDefault="00EE2781" w:rsidP="00B865BA">
            <w:pPr>
              <w:pStyle w:val="TableRowCentered"/>
              <w:numPr>
                <w:ilvl w:val="0"/>
                <w:numId w:val="25"/>
              </w:numPr>
              <w:jc w:val="left"/>
              <w:rPr>
                <w:sz w:val="22"/>
              </w:rPr>
            </w:pPr>
            <w:r>
              <w:rPr>
                <w:sz w:val="22"/>
              </w:rPr>
              <w:t xml:space="preserve">Enquiring teacher project carried out by Pupil Premium lead. Involved fortnightly posters sent to families on multiple platforms to support parents with engaging their child/ children at home. </w:t>
            </w:r>
          </w:p>
          <w:p w14:paraId="20BB8FB3" w14:textId="5A867925" w:rsidR="00EE2781" w:rsidRPr="00B865BA" w:rsidRDefault="00EE2781" w:rsidP="00B865BA">
            <w:pPr>
              <w:pStyle w:val="TableRowCentered"/>
              <w:numPr>
                <w:ilvl w:val="0"/>
                <w:numId w:val="25"/>
              </w:numPr>
              <w:jc w:val="left"/>
              <w:rPr>
                <w:sz w:val="22"/>
              </w:rPr>
            </w:pPr>
            <w:r w:rsidRPr="00B865BA">
              <w:rPr>
                <w:sz w:val="22"/>
              </w:rPr>
              <w:t xml:space="preserve">Studybugs provides a detailed description and platform for families to report absences. Provides a tool for </w:t>
            </w:r>
            <w:r w:rsidR="00B865BA" w:rsidRPr="00B865BA">
              <w:rPr>
                <w:sz w:val="22"/>
              </w:rPr>
              <w:t>Senior</w:t>
            </w:r>
            <w:r w:rsidRPr="00B865BA">
              <w:rPr>
                <w:sz w:val="22"/>
              </w:rPr>
              <w:t xml:space="preserve"> leadership to track key absence trends of individuals and year groups across the school. </w:t>
            </w:r>
          </w:p>
          <w:p w14:paraId="56847A2D" w14:textId="6EBEF328" w:rsidR="00EE2781" w:rsidRDefault="00B865BA" w:rsidP="006767D5">
            <w:pPr>
              <w:pStyle w:val="TableRowCentered"/>
              <w:numPr>
                <w:ilvl w:val="0"/>
                <w:numId w:val="25"/>
              </w:numPr>
              <w:jc w:val="left"/>
              <w:rPr>
                <w:sz w:val="22"/>
              </w:rPr>
            </w:pPr>
            <w:r>
              <w:rPr>
                <w:sz w:val="22"/>
              </w:rPr>
              <w:t>Whole school attendance still reflects s</w:t>
            </w:r>
            <w:r w:rsidR="00EE2781">
              <w:rPr>
                <w:sz w:val="22"/>
              </w:rPr>
              <w:t xml:space="preserve">ome impact from Covid across the year. </w:t>
            </w:r>
          </w:p>
          <w:p w14:paraId="334FFA5F" w14:textId="77777777" w:rsidR="00EE2781" w:rsidRDefault="00EE2781" w:rsidP="00EE2781">
            <w:pPr>
              <w:pStyle w:val="TableRowCentered"/>
              <w:ind w:left="0"/>
              <w:jc w:val="left"/>
              <w:rPr>
                <w:sz w:val="22"/>
              </w:rPr>
            </w:pPr>
          </w:p>
          <w:p w14:paraId="01BC1961" w14:textId="0BE1E121" w:rsidR="00EE2781" w:rsidRPr="00EE2781" w:rsidRDefault="00EE2781" w:rsidP="00EE2781">
            <w:pPr>
              <w:pStyle w:val="TableRowCentered"/>
              <w:numPr>
                <w:ilvl w:val="0"/>
                <w:numId w:val="24"/>
              </w:numPr>
              <w:jc w:val="left"/>
              <w:rPr>
                <w:sz w:val="22"/>
              </w:rPr>
            </w:pPr>
            <w:r>
              <w:rPr>
                <w:sz w:val="22"/>
              </w:rPr>
              <w:t xml:space="preserve">A high proportion of families reported parentmail as a useful tool in supporting communication between school and the family. Is used regularly each week to share information with families for whole school and year group information. </w:t>
            </w:r>
          </w:p>
          <w:p w14:paraId="28C26EA4" w14:textId="1D4BC358" w:rsidR="00EE2781" w:rsidRDefault="00EE2781" w:rsidP="00EE2781">
            <w:pPr>
              <w:pStyle w:val="TableRowCentered"/>
              <w:numPr>
                <w:ilvl w:val="0"/>
                <w:numId w:val="24"/>
              </w:numPr>
              <w:jc w:val="left"/>
              <w:rPr>
                <w:sz w:val="22"/>
              </w:rPr>
            </w:pPr>
            <w:r>
              <w:rPr>
                <w:sz w:val="22"/>
              </w:rPr>
              <w:t>Inclusion Welfare Officer has supported target families. She has been onsite to support in ‘late gate’ which has helped get to the ro</w:t>
            </w:r>
            <w:r w:rsidR="006767D5">
              <w:rPr>
                <w:sz w:val="22"/>
              </w:rPr>
              <w:t>ot</w:t>
            </w:r>
            <w:r>
              <w:rPr>
                <w:sz w:val="22"/>
              </w:rPr>
              <w:t xml:space="preserve"> cause of why families are late into school. </w:t>
            </w:r>
          </w:p>
          <w:p w14:paraId="316EC674" w14:textId="77777777" w:rsidR="006767D5" w:rsidRPr="00372EDB" w:rsidRDefault="006767D5" w:rsidP="006767D5">
            <w:pPr>
              <w:pStyle w:val="TableRowCentered"/>
              <w:numPr>
                <w:ilvl w:val="0"/>
                <w:numId w:val="24"/>
              </w:numPr>
              <w:jc w:val="left"/>
              <w:rPr>
                <w:rFonts w:cs="Arial"/>
                <w:color w:val="auto"/>
                <w:sz w:val="22"/>
                <w:szCs w:val="22"/>
              </w:rPr>
            </w:pPr>
            <w:r w:rsidRPr="00372EDB">
              <w:rPr>
                <w:rFonts w:cs="Arial"/>
                <w:color w:val="auto"/>
                <w:sz w:val="22"/>
                <w:szCs w:val="22"/>
              </w:rPr>
              <w:t xml:space="preserve">Attendance team have been recording minutes late on SIMs and shared with key families. </w:t>
            </w:r>
          </w:p>
          <w:p w14:paraId="39A3B33E" w14:textId="77777777" w:rsidR="006767D5" w:rsidRDefault="006767D5" w:rsidP="006767D5">
            <w:pPr>
              <w:pStyle w:val="ListParagraph"/>
              <w:numPr>
                <w:ilvl w:val="0"/>
                <w:numId w:val="24"/>
              </w:numPr>
              <w:rPr>
                <w:rFonts w:cs="Arial"/>
                <w:color w:val="auto"/>
                <w:sz w:val="22"/>
                <w:szCs w:val="22"/>
              </w:rPr>
            </w:pPr>
            <w:r w:rsidRPr="006767D5">
              <w:rPr>
                <w:rFonts w:cs="Arial"/>
                <w:color w:val="auto"/>
                <w:sz w:val="22"/>
                <w:szCs w:val="22"/>
              </w:rPr>
              <w:t xml:space="preserve">Lateness has decreased since pre-covid. </w:t>
            </w:r>
          </w:p>
          <w:p w14:paraId="0E6FD9F6" w14:textId="1F7E8338" w:rsidR="00A51F41" w:rsidRPr="00B865BA" w:rsidRDefault="006767D5" w:rsidP="00A51F41">
            <w:pPr>
              <w:pStyle w:val="ListParagraph"/>
              <w:numPr>
                <w:ilvl w:val="0"/>
                <w:numId w:val="24"/>
              </w:numPr>
              <w:rPr>
                <w:rFonts w:cs="Arial"/>
                <w:color w:val="auto"/>
                <w:sz w:val="22"/>
                <w:szCs w:val="22"/>
              </w:rPr>
            </w:pPr>
            <w:r w:rsidRPr="006767D5">
              <w:rPr>
                <w:rFonts w:cs="Arial"/>
                <w:color w:val="auto"/>
                <w:sz w:val="22"/>
                <w:szCs w:val="22"/>
              </w:rPr>
              <w:t>Weekly monitoring of pupils below 92% and actions have been recorded.</w:t>
            </w:r>
          </w:p>
        </w:tc>
      </w:tr>
      <w:tr w:rsidR="00A51F41" w:rsidRPr="00361231" w14:paraId="23F76CF1" w14:textId="77777777" w:rsidTr="00710B77">
        <w:trPr>
          <w:trHeight w:val="9031"/>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CF3D2" w14:textId="77777777" w:rsidR="00A51F41" w:rsidRPr="00A51F41" w:rsidRDefault="00A51F41" w:rsidP="00A51F41">
            <w:pPr>
              <w:pStyle w:val="1bodycopy"/>
              <w:numPr>
                <w:ilvl w:val="0"/>
                <w:numId w:val="19"/>
              </w:numPr>
              <w:tabs>
                <w:tab w:val="left" w:pos="1110"/>
              </w:tabs>
              <w:spacing w:after="0"/>
              <w:rPr>
                <w:rFonts w:eastAsia="Times New Roman"/>
                <w:b/>
                <w:bCs/>
                <w:i/>
                <w:iCs/>
                <w:color w:val="0D0D0D"/>
                <w:sz w:val="24"/>
                <w:lang w:val="en-GB"/>
              </w:rPr>
            </w:pPr>
            <w:r w:rsidRPr="00A51F41">
              <w:rPr>
                <w:rFonts w:eastAsia="Times New Roman"/>
                <w:b/>
                <w:bCs/>
                <w:i/>
                <w:iCs/>
                <w:color w:val="0D0D0D"/>
                <w:sz w:val="24"/>
                <w:lang w:val="en-GB"/>
              </w:rPr>
              <w:lastRenderedPageBreak/>
              <w:t xml:space="preserve">Improving the possibilities and life chances of all children through enrichment opportunities. </w:t>
            </w:r>
          </w:p>
          <w:p w14:paraId="0817256F" w14:textId="3BD9E29B" w:rsidR="00870FE3" w:rsidRDefault="00870FE3" w:rsidP="00870FE3">
            <w:pPr>
              <w:pStyle w:val="TableRowCentered"/>
              <w:numPr>
                <w:ilvl w:val="0"/>
                <w:numId w:val="27"/>
              </w:numPr>
              <w:jc w:val="left"/>
              <w:rPr>
                <w:sz w:val="22"/>
              </w:rPr>
            </w:pPr>
            <w:r>
              <w:rPr>
                <w:sz w:val="22"/>
              </w:rPr>
              <w:t xml:space="preserve">In Breakfast Club new crafting opportunities have been provided for pupils as well as drawing and colouring opportunities. Children also have access to a wider range of games to play with their peers. </w:t>
            </w:r>
          </w:p>
          <w:p w14:paraId="747A5C76" w14:textId="77777777" w:rsidR="00B865BA" w:rsidRDefault="00870FE3" w:rsidP="00B865BA">
            <w:pPr>
              <w:pStyle w:val="TableRowCentered"/>
              <w:numPr>
                <w:ilvl w:val="0"/>
                <w:numId w:val="27"/>
              </w:numPr>
              <w:jc w:val="left"/>
              <w:rPr>
                <w:sz w:val="22"/>
              </w:rPr>
            </w:pPr>
            <w:r>
              <w:rPr>
                <w:sz w:val="22"/>
              </w:rPr>
              <w:t xml:space="preserve">Lunchtime time club has been used in both KS1 and KS2 to provide a safe and secure environment for pupils across the school who find it challenge to manage for longer periods of time on the playground. This environment has supported key children with having a successful lunchtime. </w:t>
            </w:r>
            <w:r w:rsidRPr="00B865BA">
              <w:rPr>
                <w:sz w:val="22"/>
              </w:rPr>
              <w:t xml:space="preserve">Developing new resources has been limited and is something what will need to continue next year. </w:t>
            </w:r>
          </w:p>
          <w:p w14:paraId="774BE174" w14:textId="0069C36A" w:rsidR="00870FE3" w:rsidRPr="00B865BA" w:rsidRDefault="00870FE3" w:rsidP="00B865BA">
            <w:pPr>
              <w:pStyle w:val="TableRowCentered"/>
              <w:numPr>
                <w:ilvl w:val="0"/>
                <w:numId w:val="27"/>
              </w:numPr>
              <w:jc w:val="left"/>
              <w:rPr>
                <w:sz w:val="22"/>
              </w:rPr>
            </w:pPr>
            <w:r w:rsidRPr="00B865BA">
              <w:rPr>
                <w:sz w:val="22"/>
              </w:rPr>
              <w:t xml:space="preserve">All pupils from year 4 participated in the Delight Charity project. </w:t>
            </w:r>
          </w:p>
          <w:p w14:paraId="35151E5F" w14:textId="77777777" w:rsidR="00870FE3" w:rsidRDefault="00870FE3" w:rsidP="00870FE3">
            <w:pPr>
              <w:pStyle w:val="TableRowCentered"/>
              <w:numPr>
                <w:ilvl w:val="0"/>
                <w:numId w:val="27"/>
              </w:numPr>
              <w:jc w:val="left"/>
              <w:rPr>
                <w:sz w:val="22"/>
              </w:rPr>
            </w:pPr>
            <w:r>
              <w:rPr>
                <w:sz w:val="22"/>
              </w:rPr>
              <w:t xml:space="preserve">Positive pupil feedback regarding the project. Children were able to talk positively about their participation in the project therefore improved outcome on their well-being would be expected. </w:t>
            </w:r>
          </w:p>
          <w:p w14:paraId="063AE67A" w14:textId="77777777" w:rsidR="00870FE3" w:rsidRDefault="00870FE3" w:rsidP="00870FE3">
            <w:pPr>
              <w:pStyle w:val="TableRowCentered"/>
              <w:numPr>
                <w:ilvl w:val="0"/>
                <w:numId w:val="27"/>
              </w:numPr>
              <w:jc w:val="left"/>
              <w:rPr>
                <w:sz w:val="22"/>
              </w:rPr>
            </w:pPr>
            <w:r>
              <w:rPr>
                <w:sz w:val="22"/>
              </w:rPr>
              <w:t>Pupils reported that enjoyment in the opportunity to visit Watts Gallery and work with professionals.</w:t>
            </w:r>
          </w:p>
          <w:p w14:paraId="34BF4882" w14:textId="77777777" w:rsidR="00710B77" w:rsidRDefault="00870FE3" w:rsidP="00710B77">
            <w:pPr>
              <w:pStyle w:val="ListParagraph"/>
              <w:numPr>
                <w:ilvl w:val="0"/>
                <w:numId w:val="27"/>
              </w:numPr>
              <w:rPr>
                <w:rFonts w:cs="Arial"/>
                <w:color w:val="auto"/>
                <w:sz w:val="22"/>
                <w:szCs w:val="22"/>
              </w:rPr>
            </w:pPr>
            <w:r w:rsidRPr="00710B77">
              <w:rPr>
                <w:rFonts w:cs="Arial"/>
                <w:color w:val="auto"/>
                <w:sz w:val="22"/>
                <w:szCs w:val="22"/>
              </w:rPr>
              <w:t xml:space="preserve">Parents and businesses contacted for support and contributions towards the project. There has been a great response and contributors are aware that the project will need replenishing as time goes on. Resources obtained and sorted into play themes. </w:t>
            </w:r>
          </w:p>
          <w:p w14:paraId="1B3CD870" w14:textId="77777777" w:rsidR="00710B77" w:rsidRDefault="00870FE3" w:rsidP="00710B77">
            <w:pPr>
              <w:pStyle w:val="ListParagraph"/>
              <w:numPr>
                <w:ilvl w:val="0"/>
                <w:numId w:val="27"/>
              </w:numPr>
              <w:rPr>
                <w:rFonts w:cs="Arial"/>
                <w:color w:val="auto"/>
                <w:sz w:val="22"/>
                <w:szCs w:val="22"/>
              </w:rPr>
            </w:pPr>
            <w:r w:rsidRPr="00710B77">
              <w:rPr>
                <w:rFonts w:cs="Arial"/>
                <w:color w:val="auto"/>
                <w:sz w:val="22"/>
                <w:szCs w:val="22"/>
              </w:rPr>
              <w:t xml:space="preserve"> An additional coach from S4K has been employed so we can offer 2 sports/activity sessions each lunchtime.  MUGA timetable has been written and revised, as necessary. This has resulted in more structured sports games and a wider variety of games being played.</w:t>
            </w:r>
          </w:p>
          <w:p w14:paraId="73E29647" w14:textId="61DBAF9C" w:rsidR="00A51F41" w:rsidRPr="00710B77" w:rsidRDefault="00870FE3" w:rsidP="00710B77">
            <w:pPr>
              <w:pStyle w:val="ListParagraph"/>
              <w:numPr>
                <w:ilvl w:val="0"/>
                <w:numId w:val="27"/>
              </w:numPr>
              <w:rPr>
                <w:rFonts w:cs="Arial"/>
                <w:color w:val="auto"/>
                <w:sz w:val="22"/>
                <w:szCs w:val="22"/>
              </w:rPr>
            </w:pPr>
            <w:r w:rsidRPr="00710B77">
              <w:rPr>
                <w:rFonts w:cs="Arial"/>
                <w:color w:val="auto"/>
                <w:sz w:val="22"/>
                <w:szCs w:val="22"/>
              </w:rPr>
              <w:t xml:space="preserve"> Funding for shed has been secured so that the children can access and manage the language project along with the adults. Larger items such as tyres and wooden reels are to be decorated and made safe/secure before being presented to the children. Music area is likely to be completed first.</w:t>
            </w:r>
          </w:p>
          <w:p w14:paraId="56AC1D93" w14:textId="77777777" w:rsidR="00A51F41" w:rsidRPr="00A51F41" w:rsidRDefault="00A51F41" w:rsidP="00A51F41">
            <w:pPr>
              <w:spacing w:before="60"/>
              <w:rPr>
                <w:i/>
                <w:iCs/>
                <w:lang w:eastAsia="en-US"/>
              </w:rPr>
            </w:pP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headerReference w:type="default" r:id="rId35"/>
      <w:footerReference w:type="default" r:id="rId3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DE6"/>
    <w:multiLevelType w:val="hybridMultilevel"/>
    <w:tmpl w:val="AC7208E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BCF3BAC"/>
    <w:multiLevelType w:val="hybridMultilevel"/>
    <w:tmpl w:val="6BC6E24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6A1175"/>
    <w:multiLevelType w:val="hybridMultilevel"/>
    <w:tmpl w:val="58F0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3E93A7F"/>
    <w:multiLevelType w:val="hybridMultilevel"/>
    <w:tmpl w:val="0750C0D8"/>
    <w:lvl w:ilvl="0" w:tplc="08090001">
      <w:start w:val="1"/>
      <w:numFmt w:val="bullet"/>
      <w:lvlText w:val=""/>
      <w:lvlJc w:val="left"/>
      <w:pPr>
        <w:ind w:left="417" w:hanging="360"/>
      </w:pPr>
      <w:rPr>
        <w:rFonts w:ascii="Symbol" w:hAnsi="Symbol"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0"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1" w15:restartNumberingAfterBreak="0">
    <w:nsid w:val="3F421998"/>
    <w:multiLevelType w:val="hybridMultilevel"/>
    <w:tmpl w:val="10C013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11A3DBF"/>
    <w:multiLevelType w:val="hybridMultilevel"/>
    <w:tmpl w:val="3814D068"/>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4" w15:restartNumberingAfterBreak="0">
    <w:nsid w:val="42E32E04"/>
    <w:multiLevelType w:val="hybridMultilevel"/>
    <w:tmpl w:val="D5A245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571463DE"/>
    <w:multiLevelType w:val="hybridMultilevel"/>
    <w:tmpl w:val="B9100B14"/>
    <w:lvl w:ilvl="0" w:tplc="E2C42DB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6" w15:restartNumberingAfterBreak="0">
    <w:nsid w:val="584B0D9B"/>
    <w:multiLevelType w:val="hybridMultilevel"/>
    <w:tmpl w:val="31A614E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CF916A3"/>
    <w:multiLevelType w:val="hybridMultilevel"/>
    <w:tmpl w:val="1FECF0AE"/>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1A007A"/>
    <w:multiLevelType w:val="hybridMultilevel"/>
    <w:tmpl w:val="F24A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E1010"/>
    <w:multiLevelType w:val="hybridMultilevel"/>
    <w:tmpl w:val="BE101330"/>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1134" w:hanging="360"/>
      </w:pPr>
      <w:rPr>
        <w:rFonts w:ascii="Courier New" w:hAnsi="Courier New" w:cs="Courier New" w:hint="default"/>
      </w:rPr>
    </w:lvl>
    <w:lvl w:ilvl="2" w:tplc="08090005">
      <w:start w:val="1"/>
      <w:numFmt w:val="bullet"/>
      <w:lvlText w:val=""/>
      <w:lvlJc w:val="left"/>
      <w:pPr>
        <w:ind w:left="1854" w:hanging="360"/>
      </w:pPr>
      <w:rPr>
        <w:rFonts w:ascii="Wingdings" w:hAnsi="Wingdings" w:hint="default"/>
      </w:rPr>
    </w:lvl>
    <w:lvl w:ilvl="3" w:tplc="08090001">
      <w:start w:val="1"/>
      <w:numFmt w:val="bullet"/>
      <w:lvlText w:val=""/>
      <w:lvlJc w:val="left"/>
      <w:pPr>
        <w:ind w:left="2574" w:hanging="360"/>
      </w:pPr>
      <w:rPr>
        <w:rFonts w:ascii="Symbol" w:hAnsi="Symbol" w:hint="default"/>
      </w:rPr>
    </w:lvl>
    <w:lvl w:ilvl="4" w:tplc="08090003">
      <w:start w:val="1"/>
      <w:numFmt w:val="bullet"/>
      <w:lvlText w:val="o"/>
      <w:lvlJc w:val="left"/>
      <w:pPr>
        <w:ind w:left="3294" w:hanging="360"/>
      </w:pPr>
      <w:rPr>
        <w:rFonts w:ascii="Courier New" w:hAnsi="Courier New" w:cs="Courier New" w:hint="default"/>
      </w:rPr>
    </w:lvl>
    <w:lvl w:ilvl="5" w:tplc="08090005">
      <w:start w:val="1"/>
      <w:numFmt w:val="bullet"/>
      <w:lvlText w:val=""/>
      <w:lvlJc w:val="left"/>
      <w:pPr>
        <w:ind w:left="4014" w:hanging="360"/>
      </w:pPr>
      <w:rPr>
        <w:rFonts w:ascii="Wingdings" w:hAnsi="Wingdings" w:hint="default"/>
      </w:rPr>
    </w:lvl>
    <w:lvl w:ilvl="6" w:tplc="08090001">
      <w:start w:val="1"/>
      <w:numFmt w:val="bullet"/>
      <w:lvlText w:val=""/>
      <w:lvlJc w:val="left"/>
      <w:pPr>
        <w:ind w:left="4734" w:hanging="360"/>
      </w:pPr>
      <w:rPr>
        <w:rFonts w:ascii="Symbol" w:hAnsi="Symbol" w:hint="default"/>
      </w:rPr>
    </w:lvl>
    <w:lvl w:ilvl="7" w:tplc="08090003">
      <w:start w:val="1"/>
      <w:numFmt w:val="bullet"/>
      <w:lvlText w:val="o"/>
      <w:lvlJc w:val="left"/>
      <w:pPr>
        <w:ind w:left="5454" w:hanging="360"/>
      </w:pPr>
      <w:rPr>
        <w:rFonts w:ascii="Courier New" w:hAnsi="Courier New" w:cs="Courier New" w:hint="default"/>
      </w:rPr>
    </w:lvl>
    <w:lvl w:ilvl="8" w:tplc="08090005">
      <w:start w:val="1"/>
      <w:numFmt w:val="bullet"/>
      <w:lvlText w:val=""/>
      <w:lvlJc w:val="left"/>
      <w:pPr>
        <w:ind w:left="6174" w:hanging="360"/>
      </w:pPr>
      <w:rPr>
        <w:rFonts w:ascii="Wingdings" w:hAnsi="Wingdings" w:hint="default"/>
      </w:rPr>
    </w:lvl>
  </w:abstractNum>
  <w:abstractNum w:abstractNumId="2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7DC0FC6"/>
    <w:multiLevelType w:val="hybridMultilevel"/>
    <w:tmpl w:val="11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11259">
    <w:abstractNumId w:val="6"/>
  </w:num>
  <w:num w:numId="2" w16cid:durableId="1628730595">
    <w:abstractNumId w:val="4"/>
  </w:num>
  <w:num w:numId="3" w16cid:durableId="497188144">
    <w:abstractNumId w:val="7"/>
  </w:num>
  <w:num w:numId="4" w16cid:durableId="1138914232">
    <w:abstractNumId w:val="8"/>
  </w:num>
  <w:num w:numId="5" w16cid:durableId="857932188">
    <w:abstractNumId w:val="2"/>
  </w:num>
  <w:num w:numId="6" w16cid:durableId="798501009">
    <w:abstractNumId w:val="12"/>
  </w:num>
  <w:num w:numId="7" w16cid:durableId="1210847263">
    <w:abstractNumId w:val="21"/>
  </w:num>
  <w:num w:numId="8" w16cid:durableId="982348153">
    <w:abstractNumId w:val="26"/>
  </w:num>
  <w:num w:numId="9" w16cid:durableId="1529290868">
    <w:abstractNumId w:val="24"/>
  </w:num>
  <w:num w:numId="10" w16cid:durableId="1171066271">
    <w:abstractNumId w:val="22"/>
  </w:num>
  <w:num w:numId="11" w16cid:durableId="1453552857">
    <w:abstractNumId w:val="5"/>
  </w:num>
  <w:num w:numId="12" w16cid:durableId="1812097430">
    <w:abstractNumId w:val="25"/>
  </w:num>
  <w:num w:numId="13" w16cid:durableId="42288650">
    <w:abstractNumId w:val="18"/>
  </w:num>
  <w:num w:numId="14" w16cid:durableId="7030270">
    <w:abstractNumId w:val="16"/>
  </w:num>
  <w:num w:numId="15" w16cid:durableId="617034311">
    <w:abstractNumId w:val="0"/>
  </w:num>
  <w:num w:numId="16" w16cid:durableId="718553443">
    <w:abstractNumId w:val="10"/>
  </w:num>
  <w:num w:numId="17" w16cid:durableId="1564218751">
    <w:abstractNumId w:val="23"/>
  </w:num>
  <w:num w:numId="18" w16cid:durableId="1181550099">
    <w:abstractNumId w:val="11"/>
  </w:num>
  <w:num w:numId="19" w16cid:durableId="1458261432">
    <w:abstractNumId w:val="15"/>
  </w:num>
  <w:num w:numId="20" w16cid:durableId="866023611">
    <w:abstractNumId w:val="27"/>
  </w:num>
  <w:num w:numId="21" w16cid:durableId="1396974556">
    <w:abstractNumId w:val="17"/>
  </w:num>
  <w:num w:numId="22" w16cid:durableId="1266619453">
    <w:abstractNumId w:val="3"/>
  </w:num>
  <w:num w:numId="23" w16cid:durableId="2019497256">
    <w:abstractNumId w:val="13"/>
  </w:num>
  <w:num w:numId="24" w16cid:durableId="882255592">
    <w:abstractNumId w:val="14"/>
  </w:num>
  <w:num w:numId="25" w16cid:durableId="140314683">
    <w:abstractNumId w:val="19"/>
  </w:num>
  <w:num w:numId="26" w16cid:durableId="1334145386">
    <w:abstractNumId w:val="9"/>
  </w:num>
  <w:num w:numId="27" w16cid:durableId="1608654766">
    <w:abstractNumId w:val="1"/>
  </w:num>
  <w:num w:numId="28" w16cid:durableId="9542851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0629E"/>
    <w:rsid w:val="00023729"/>
    <w:rsid w:val="000243B4"/>
    <w:rsid w:val="000452EB"/>
    <w:rsid w:val="000463AE"/>
    <w:rsid w:val="000507A3"/>
    <w:rsid w:val="000568A1"/>
    <w:rsid w:val="00060A62"/>
    <w:rsid w:val="00064366"/>
    <w:rsid w:val="00066B73"/>
    <w:rsid w:val="00071481"/>
    <w:rsid w:val="00074F52"/>
    <w:rsid w:val="00075FAE"/>
    <w:rsid w:val="00082F38"/>
    <w:rsid w:val="0008384B"/>
    <w:rsid w:val="000929EC"/>
    <w:rsid w:val="00093CDE"/>
    <w:rsid w:val="00097950"/>
    <w:rsid w:val="000A187A"/>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53140"/>
    <w:rsid w:val="0016557A"/>
    <w:rsid w:val="001671ED"/>
    <w:rsid w:val="001727FA"/>
    <w:rsid w:val="00173D4C"/>
    <w:rsid w:val="00183218"/>
    <w:rsid w:val="00185988"/>
    <w:rsid w:val="001873B6"/>
    <w:rsid w:val="001901E6"/>
    <w:rsid w:val="00191305"/>
    <w:rsid w:val="00195B55"/>
    <w:rsid w:val="001A2FE8"/>
    <w:rsid w:val="001A33AC"/>
    <w:rsid w:val="001C1C51"/>
    <w:rsid w:val="001D2D53"/>
    <w:rsid w:val="001E0ECA"/>
    <w:rsid w:val="001E206F"/>
    <w:rsid w:val="001E5750"/>
    <w:rsid w:val="001E7739"/>
    <w:rsid w:val="001F3DB4"/>
    <w:rsid w:val="00204F40"/>
    <w:rsid w:val="00205DEF"/>
    <w:rsid w:val="00206ED7"/>
    <w:rsid w:val="00216C8A"/>
    <w:rsid w:val="00226317"/>
    <w:rsid w:val="00231539"/>
    <w:rsid w:val="002523E3"/>
    <w:rsid w:val="00255964"/>
    <w:rsid w:val="0026350D"/>
    <w:rsid w:val="00266FA5"/>
    <w:rsid w:val="00277F73"/>
    <w:rsid w:val="002920F4"/>
    <w:rsid w:val="002940F3"/>
    <w:rsid w:val="00294AB6"/>
    <w:rsid w:val="00295842"/>
    <w:rsid w:val="002B3574"/>
    <w:rsid w:val="002B6B74"/>
    <w:rsid w:val="002C6AE7"/>
    <w:rsid w:val="002D2D4B"/>
    <w:rsid w:val="002D3805"/>
    <w:rsid w:val="002D4AE4"/>
    <w:rsid w:val="002E1402"/>
    <w:rsid w:val="002E66AE"/>
    <w:rsid w:val="002E7763"/>
    <w:rsid w:val="002F017F"/>
    <w:rsid w:val="002F5842"/>
    <w:rsid w:val="00306CB7"/>
    <w:rsid w:val="003111F5"/>
    <w:rsid w:val="003328AC"/>
    <w:rsid w:val="00336200"/>
    <w:rsid w:val="00337418"/>
    <w:rsid w:val="00351D83"/>
    <w:rsid w:val="00353E46"/>
    <w:rsid w:val="003576C4"/>
    <w:rsid w:val="00365153"/>
    <w:rsid w:val="00366AB0"/>
    <w:rsid w:val="00371E96"/>
    <w:rsid w:val="00373179"/>
    <w:rsid w:val="003732FF"/>
    <w:rsid w:val="0037437C"/>
    <w:rsid w:val="003746E5"/>
    <w:rsid w:val="0038146B"/>
    <w:rsid w:val="0038340F"/>
    <w:rsid w:val="00384457"/>
    <w:rsid w:val="00384F24"/>
    <w:rsid w:val="00391C41"/>
    <w:rsid w:val="00397641"/>
    <w:rsid w:val="003A32B2"/>
    <w:rsid w:val="003A47DD"/>
    <w:rsid w:val="003A634F"/>
    <w:rsid w:val="003A65F8"/>
    <w:rsid w:val="003B588A"/>
    <w:rsid w:val="003B621D"/>
    <w:rsid w:val="003C1521"/>
    <w:rsid w:val="003C4388"/>
    <w:rsid w:val="003C4C27"/>
    <w:rsid w:val="003C7F7B"/>
    <w:rsid w:val="003D2EAA"/>
    <w:rsid w:val="003E054C"/>
    <w:rsid w:val="003E27A0"/>
    <w:rsid w:val="003E3872"/>
    <w:rsid w:val="003E72BC"/>
    <w:rsid w:val="004044AA"/>
    <w:rsid w:val="004044C8"/>
    <w:rsid w:val="00404F3F"/>
    <w:rsid w:val="00410B5D"/>
    <w:rsid w:val="00413BEC"/>
    <w:rsid w:val="0041720F"/>
    <w:rsid w:val="0042265E"/>
    <w:rsid w:val="00424ED7"/>
    <w:rsid w:val="004250DD"/>
    <w:rsid w:val="00425258"/>
    <w:rsid w:val="00426217"/>
    <w:rsid w:val="00431A80"/>
    <w:rsid w:val="00435A89"/>
    <w:rsid w:val="0043712C"/>
    <w:rsid w:val="00446647"/>
    <w:rsid w:val="00452267"/>
    <w:rsid w:val="00453307"/>
    <w:rsid w:val="00457E36"/>
    <w:rsid w:val="00462F8F"/>
    <w:rsid w:val="00466082"/>
    <w:rsid w:val="00481D56"/>
    <w:rsid w:val="00490408"/>
    <w:rsid w:val="004A4C45"/>
    <w:rsid w:val="004B0485"/>
    <w:rsid w:val="004B428E"/>
    <w:rsid w:val="004B4D37"/>
    <w:rsid w:val="004C42F0"/>
    <w:rsid w:val="004D42B5"/>
    <w:rsid w:val="004E1D73"/>
    <w:rsid w:val="004F5474"/>
    <w:rsid w:val="0051286E"/>
    <w:rsid w:val="00516021"/>
    <w:rsid w:val="00516457"/>
    <w:rsid w:val="00520A0C"/>
    <w:rsid w:val="00530E37"/>
    <w:rsid w:val="005464A1"/>
    <w:rsid w:val="00546F12"/>
    <w:rsid w:val="0055339C"/>
    <w:rsid w:val="00554E07"/>
    <w:rsid w:val="00562B3C"/>
    <w:rsid w:val="00564E40"/>
    <w:rsid w:val="00570A0B"/>
    <w:rsid w:val="005750E2"/>
    <w:rsid w:val="00576E08"/>
    <w:rsid w:val="0058313F"/>
    <w:rsid w:val="00585859"/>
    <w:rsid w:val="00586FBC"/>
    <w:rsid w:val="005879C9"/>
    <w:rsid w:val="005A3C6B"/>
    <w:rsid w:val="005B1EA5"/>
    <w:rsid w:val="005B3524"/>
    <w:rsid w:val="005C79F9"/>
    <w:rsid w:val="005D7176"/>
    <w:rsid w:val="005E1F24"/>
    <w:rsid w:val="005E6233"/>
    <w:rsid w:val="005E73F1"/>
    <w:rsid w:val="005F07EF"/>
    <w:rsid w:val="00600B2E"/>
    <w:rsid w:val="00605C3C"/>
    <w:rsid w:val="00607CEB"/>
    <w:rsid w:val="00613299"/>
    <w:rsid w:val="0061762D"/>
    <w:rsid w:val="00631D80"/>
    <w:rsid w:val="00634238"/>
    <w:rsid w:val="00635FBC"/>
    <w:rsid w:val="00637728"/>
    <w:rsid w:val="0064113A"/>
    <w:rsid w:val="00644002"/>
    <w:rsid w:val="006458B1"/>
    <w:rsid w:val="00650529"/>
    <w:rsid w:val="00650BAB"/>
    <w:rsid w:val="00651737"/>
    <w:rsid w:val="006671BF"/>
    <w:rsid w:val="00672A7D"/>
    <w:rsid w:val="006767D5"/>
    <w:rsid w:val="00681416"/>
    <w:rsid w:val="00686007"/>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02E96"/>
    <w:rsid w:val="00710B77"/>
    <w:rsid w:val="00711BE3"/>
    <w:rsid w:val="00724FA7"/>
    <w:rsid w:val="00725415"/>
    <w:rsid w:val="00727505"/>
    <w:rsid w:val="00731581"/>
    <w:rsid w:val="00741B9E"/>
    <w:rsid w:val="00743DAC"/>
    <w:rsid w:val="00747CCE"/>
    <w:rsid w:val="0075337B"/>
    <w:rsid w:val="00755CD4"/>
    <w:rsid w:val="00757F96"/>
    <w:rsid w:val="00773FF0"/>
    <w:rsid w:val="00776DD9"/>
    <w:rsid w:val="00785285"/>
    <w:rsid w:val="0078529D"/>
    <w:rsid w:val="00787DC1"/>
    <w:rsid w:val="00794070"/>
    <w:rsid w:val="007A713B"/>
    <w:rsid w:val="007B64E5"/>
    <w:rsid w:val="007C0DFD"/>
    <w:rsid w:val="007C2F04"/>
    <w:rsid w:val="007F1C82"/>
    <w:rsid w:val="007F5B8B"/>
    <w:rsid w:val="00817E9A"/>
    <w:rsid w:val="00820689"/>
    <w:rsid w:val="00830D57"/>
    <w:rsid w:val="00834F4A"/>
    <w:rsid w:val="00857982"/>
    <w:rsid w:val="00860B07"/>
    <w:rsid w:val="008616F6"/>
    <w:rsid w:val="0086259C"/>
    <w:rsid w:val="00870FE3"/>
    <w:rsid w:val="00883F24"/>
    <w:rsid w:val="00897E1F"/>
    <w:rsid w:val="008B1560"/>
    <w:rsid w:val="008B2CB4"/>
    <w:rsid w:val="008B48DA"/>
    <w:rsid w:val="008B6404"/>
    <w:rsid w:val="008C2C21"/>
    <w:rsid w:val="008C7DD3"/>
    <w:rsid w:val="008D63BE"/>
    <w:rsid w:val="008E000B"/>
    <w:rsid w:val="008E2926"/>
    <w:rsid w:val="008E35C6"/>
    <w:rsid w:val="008E3F49"/>
    <w:rsid w:val="008F243B"/>
    <w:rsid w:val="008F32BA"/>
    <w:rsid w:val="008F4675"/>
    <w:rsid w:val="00902424"/>
    <w:rsid w:val="00904A66"/>
    <w:rsid w:val="0092287F"/>
    <w:rsid w:val="0092495B"/>
    <w:rsid w:val="0092535E"/>
    <w:rsid w:val="0092660E"/>
    <w:rsid w:val="00936519"/>
    <w:rsid w:val="00941CEB"/>
    <w:rsid w:val="00941DA3"/>
    <w:rsid w:val="00942C0C"/>
    <w:rsid w:val="009539E3"/>
    <w:rsid w:val="00954A5E"/>
    <w:rsid w:val="009551B2"/>
    <w:rsid w:val="00964625"/>
    <w:rsid w:val="009722EC"/>
    <w:rsid w:val="009809D7"/>
    <w:rsid w:val="00981C1D"/>
    <w:rsid w:val="0099109C"/>
    <w:rsid w:val="009936DB"/>
    <w:rsid w:val="00993CFC"/>
    <w:rsid w:val="009A1DC2"/>
    <w:rsid w:val="009C0914"/>
    <w:rsid w:val="009C27E5"/>
    <w:rsid w:val="009D71E8"/>
    <w:rsid w:val="009E104B"/>
    <w:rsid w:val="009E7DE4"/>
    <w:rsid w:val="009F3BBD"/>
    <w:rsid w:val="00A063DD"/>
    <w:rsid w:val="00A1038C"/>
    <w:rsid w:val="00A112B5"/>
    <w:rsid w:val="00A14EEA"/>
    <w:rsid w:val="00A44FBB"/>
    <w:rsid w:val="00A50104"/>
    <w:rsid w:val="00A51F41"/>
    <w:rsid w:val="00A522E0"/>
    <w:rsid w:val="00A63579"/>
    <w:rsid w:val="00A638AC"/>
    <w:rsid w:val="00A727E5"/>
    <w:rsid w:val="00A748B5"/>
    <w:rsid w:val="00A778E2"/>
    <w:rsid w:val="00A80A32"/>
    <w:rsid w:val="00A82A98"/>
    <w:rsid w:val="00A82D16"/>
    <w:rsid w:val="00A86CA2"/>
    <w:rsid w:val="00A92452"/>
    <w:rsid w:val="00A95F75"/>
    <w:rsid w:val="00A96B83"/>
    <w:rsid w:val="00AA355B"/>
    <w:rsid w:val="00AA39B1"/>
    <w:rsid w:val="00AA42E5"/>
    <w:rsid w:val="00AA6922"/>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865BA"/>
    <w:rsid w:val="00BA19A5"/>
    <w:rsid w:val="00BC67F6"/>
    <w:rsid w:val="00BD2004"/>
    <w:rsid w:val="00BD4B12"/>
    <w:rsid w:val="00BE2F92"/>
    <w:rsid w:val="00BF0D5F"/>
    <w:rsid w:val="00C11B72"/>
    <w:rsid w:val="00C11EB4"/>
    <w:rsid w:val="00C12746"/>
    <w:rsid w:val="00C15DC3"/>
    <w:rsid w:val="00C25827"/>
    <w:rsid w:val="00C31BB8"/>
    <w:rsid w:val="00C373EA"/>
    <w:rsid w:val="00C51B8C"/>
    <w:rsid w:val="00C53577"/>
    <w:rsid w:val="00C621C1"/>
    <w:rsid w:val="00C62989"/>
    <w:rsid w:val="00C65CBB"/>
    <w:rsid w:val="00C80F37"/>
    <w:rsid w:val="00C97A7F"/>
    <w:rsid w:val="00CB5B17"/>
    <w:rsid w:val="00CC4443"/>
    <w:rsid w:val="00CC5CAF"/>
    <w:rsid w:val="00CD4F80"/>
    <w:rsid w:val="00CD572A"/>
    <w:rsid w:val="00CF1522"/>
    <w:rsid w:val="00D06874"/>
    <w:rsid w:val="00D173F7"/>
    <w:rsid w:val="00D20203"/>
    <w:rsid w:val="00D204E0"/>
    <w:rsid w:val="00D21354"/>
    <w:rsid w:val="00D22400"/>
    <w:rsid w:val="00D278BA"/>
    <w:rsid w:val="00D33FE5"/>
    <w:rsid w:val="00D3578A"/>
    <w:rsid w:val="00D37B25"/>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3E4"/>
    <w:rsid w:val="00DD6B7D"/>
    <w:rsid w:val="00DD6E14"/>
    <w:rsid w:val="00DE15AC"/>
    <w:rsid w:val="00E061EC"/>
    <w:rsid w:val="00E13E51"/>
    <w:rsid w:val="00E2342D"/>
    <w:rsid w:val="00E43EAD"/>
    <w:rsid w:val="00E45B3A"/>
    <w:rsid w:val="00E50260"/>
    <w:rsid w:val="00E62DCB"/>
    <w:rsid w:val="00E651DD"/>
    <w:rsid w:val="00E66558"/>
    <w:rsid w:val="00E70D81"/>
    <w:rsid w:val="00E726A6"/>
    <w:rsid w:val="00E86F05"/>
    <w:rsid w:val="00EA3A2A"/>
    <w:rsid w:val="00EB4556"/>
    <w:rsid w:val="00EB64C8"/>
    <w:rsid w:val="00ED5108"/>
    <w:rsid w:val="00EE2781"/>
    <w:rsid w:val="00EE2859"/>
    <w:rsid w:val="00EF0009"/>
    <w:rsid w:val="00EF7457"/>
    <w:rsid w:val="00F012CA"/>
    <w:rsid w:val="00F01752"/>
    <w:rsid w:val="00F0355A"/>
    <w:rsid w:val="00F15D44"/>
    <w:rsid w:val="00F24A7E"/>
    <w:rsid w:val="00F33DC0"/>
    <w:rsid w:val="00F53128"/>
    <w:rsid w:val="00F62587"/>
    <w:rsid w:val="00F63E9E"/>
    <w:rsid w:val="00F76843"/>
    <w:rsid w:val="00F776E1"/>
    <w:rsid w:val="00F8651B"/>
    <w:rsid w:val="00F925EB"/>
    <w:rsid w:val="00FA6DD0"/>
    <w:rsid w:val="00FC0722"/>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5C79F9"/>
    <w:pPr>
      <w:suppressAutoHyphens w:val="0"/>
      <w:autoSpaceDN/>
      <w:spacing w:after="120" w:line="240" w:lineRule="auto"/>
    </w:pPr>
    <w:rPr>
      <w:rFonts w:eastAsia="MS Mincho"/>
      <w:color w:val="auto"/>
      <w:sz w:val="20"/>
      <w:lang w:val="en-US" w:eastAsia="en-US"/>
    </w:rPr>
  </w:style>
  <w:style w:type="character" w:customStyle="1" w:styleId="1bodycopyChar">
    <w:name w:val="1 body copy Char"/>
    <w:link w:val="1bodycopy"/>
    <w:rsid w:val="005C79F9"/>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317149040">
      <w:bodyDiv w:val="1"/>
      <w:marLeft w:val="0"/>
      <w:marRight w:val="0"/>
      <w:marTop w:val="0"/>
      <w:marBottom w:val="0"/>
      <w:divBdr>
        <w:top w:val="none" w:sz="0" w:space="0" w:color="auto"/>
        <w:left w:val="none" w:sz="0" w:space="0" w:color="auto"/>
        <w:bottom w:val="none" w:sz="0" w:space="0" w:color="auto"/>
        <w:right w:val="none" w:sz="0" w:space="0" w:color="auto"/>
      </w:divBdr>
    </w:div>
    <w:div w:id="430199284">
      <w:bodyDiv w:val="1"/>
      <w:marLeft w:val="0"/>
      <w:marRight w:val="0"/>
      <w:marTop w:val="0"/>
      <w:marBottom w:val="0"/>
      <w:divBdr>
        <w:top w:val="none" w:sz="0" w:space="0" w:color="auto"/>
        <w:left w:val="none" w:sz="0" w:space="0" w:color="auto"/>
        <w:bottom w:val="none" w:sz="0" w:space="0" w:color="auto"/>
        <w:right w:val="none" w:sz="0" w:space="0" w:color="auto"/>
      </w:divBdr>
    </w:div>
    <w:div w:id="777068490">
      <w:bodyDiv w:val="1"/>
      <w:marLeft w:val="0"/>
      <w:marRight w:val="0"/>
      <w:marTop w:val="0"/>
      <w:marBottom w:val="0"/>
      <w:divBdr>
        <w:top w:val="none" w:sz="0" w:space="0" w:color="auto"/>
        <w:left w:val="none" w:sz="0" w:space="0" w:color="auto"/>
        <w:bottom w:val="none" w:sz="0" w:space="0" w:color="auto"/>
        <w:right w:val="none" w:sz="0" w:space="0" w:color="auto"/>
      </w:divBdr>
    </w:div>
    <w:div w:id="1098135526">
      <w:bodyDiv w:val="1"/>
      <w:marLeft w:val="0"/>
      <w:marRight w:val="0"/>
      <w:marTop w:val="0"/>
      <w:marBottom w:val="0"/>
      <w:divBdr>
        <w:top w:val="none" w:sz="0" w:space="0" w:color="auto"/>
        <w:left w:val="none" w:sz="0" w:space="0" w:color="auto"/>
        <w:bottom w:val="none" w:sz="0" w:space="0" w:color="auto"/>
        <w:right w:val="none" w:sz="0" w:space="0" w:color="auto"/>
      </w:divBdr>
    </w:div>
    <w:div w:id="1646349668">
      <w:bodyDiv w:val="1"/>
      <w:marLeft w:val="0"/>
      <w:marRight w:val="0"/>
      <w:marTop w:val="0"/>
      <w:marBottom w:val="0"/>
      <w:divBdr>
        <w:top w:val="none" w:sz="0" w:space="0" w:color="auto"/>
        <w:left w:val="none" w:sz="0" w:space="0" w:color="auto"/>
        <w:bottom w:val="none" w:sz="0" w:space="0" w:color="auto"/>
        <w:right w:val="none" w:sz="0" w:space="0" w:color="auto"/>
      </w:divBdr>
    </w:div>
    <w:div w:id="205599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teaching-learning-toolkit/feedback" TargetMode="External"/><Relationship Id="rId18" Type="http://schemas.openxmlformats.org/officeDocument/2006/relationships/hyperlink" Target="https://educationendowmentfoundation.org.uk/education-evidence/guidance-reports/literacy-ks2" TargetMode="External"/><Relationship Id="rId26" Type="http://schemas.openxmlformats.org/officeDocument/2006/relationships/hyperlink" Target="https://educationendowmentfoundation.org.uk/education-evidence/guidance-reports/supporting-parents" TargetMode="External"/><Relationship Id="rId21" Type="http://schemas.openxmlformats.org/officeDocument/2006/relationships/hyperlink" Target="https://educationendowmentfoundation.org.uk/education-evidence/teaching-learning-toolkit/social-and-emotional-learning" TargetMode="External"/><Relationship Id="rId34"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s://fs.hubspotusercontent00.net/hubfs/20248256/Vision/EEF_Social_and_Emotional_Learning.pdf" TargetMode="External"/><Relationship Id="rId17" Type="http://schemas.openxmlformats.org/officeDocument/2006/relationships/hyperlink" Target="https://educationendowmentfoundation.org.uk/education-evidence/teaching-learning-toolkit/small-group-tuition" TargetMode="External"/><Relationship Id="rId25" Type="http://schemas.openxmlformats.org/officeDocument/2006/relationships/hyperlink" Target="https://educationendowmentfoundation.org.uk/education-evidence/early-years-toolkit/parental-engagement" TargetMode="External"/><Relationship Id="rId33" Type="http://schemas.openxmlformats.org/officeDocument/2006/relationships/hyperlink" Target="https://educationendowmentfoundation.org.uk/education-evidence/teaching-learning-toolkit/extending-school-tim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hyperlink" Target="https://educationendowmentfoundation.org.uk/education-evidence/teaching-learning-toolkit/one-to-one-tuition" TargetMode="External"/><Relationship Id="rId29" Type="http://schemas.openxmlformats.org/officeDocument/2006/relationships/hyperlink" Target="https://educationendowmentfoundation.org.uk/education-evidence/teaching-learning-toolkit/parental-engag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literacy-ks2" TargetMode="External"/><Relationship Id="rId24" Type="http://schemas.openxmlformats.org/officeDocument/2006/relationships/hyperlink" Target="https://educationendowmentfoundation.org.uk/education-evidence/teaching-learning-toolkit/small-group-tuition" TargetMode="External"/><Relationship Id="rId32" Type="http://schemas.openxmlformats.org/officeDocument/2006/relationships/hyperlink" Target="https://educationendowmentfoundation.org.uk/education-evidence/teaching-learning-toolkit/arts-participatio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endowmentfoundation.org.uk/news/eef-blog-the-shrec-approach-4-evidence-informed-strategies-to-promote-high-quality-interactions-with-y" TargetMode="External"/><Relationship Id="rId23" Type="http://schemas.openxmlformats.org/officeDocument/2006/relationships/hyperlink" Target="https://educationendowmentfoundation.org.uk/education-evidence/guidance-reports/literacy-ks2" TargetMode="External"/><Relationship Id="rId28" Type="http://schemas.openxmlformats.org/officeDocument/2006/relationships/hyperlink" Target="https://educationendowmentfoundation.org.uk/education-evidence/evidence-reviews/attendance-interventions-rapid-evidence-assessment?utm_source=/education-evidence/evidence-reviews/attendance-interventions-rapid-evidence-assessment&amp;utm_medium=search&amp;utm_campaign=site_search&amp;search_term=attendence" TargetMode="External"/><Relationship Id="rId36" Type="http://schemas.openxmlformats.org/officeDocument/2006/relationships/footer" Target="footer1.xml"/><Relationship Id="rId10" Type="http://schemas.openxmlformats.org/officeDocument/2006/relationships/hyperlink" Target="https://educationendowmentfoundation.org.uk/public/files/Publications/Maths/KS2_KS3_Maths_Guidance_2017.pdf" TargetMode="External"/><Relationship Id="rId19" Type="http://schemas.openxmlformats.org/officeDocument/2006/relationships/hyperlink" Target="https://educationendowmentfoundation.org.uk/education-evidence/teaching-learning-toolkit/small-group-tuition" TargetMode="External"/><Relationship Id="rId31" Type="http://schemas.openxmlformats.org/officeDocument/2006/relationships/hyperlink" Target="https://educationendowmentfoundation.org.uk/education-evidence/teaching-learning-toolkit/extending-school-time"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97806/Maths_guidance_KS_1_and_2.pdf" TargetMode="External"/><Relationship Id="rId14" Type="http://schemas.openxmlformats.org/officeDocument/2006/relationships/hyperlink" Target="https://ffteducationdatalab.org.uk/" TargetMode="External"/><Relationship Id="rId22" Type="http://schemas.openxmlformats.org/officeDocument/2006/relationships/hyperlink" Target="https://www.bell-foundation.org.uk/news/blog-new-research-on-eal-learners-shows-the-importance-of-looking-behind-headline-attainment-data/" TargetMode="External"/><Relationship Id="rId27" Type="http://schemas.openxmlformats.org/officeDocument/2006/relationships/hyperlink" Target="https://www.england.nhs.uk/mental-health/cyp/trailblazers/" TargetMode="External"/><Relationship Id="rId30" Type="http://schemas.openxmlformats.org/officeDocument/2006/relationships/hyperlink" Target="https://educationendowmentfoundation.org.uk/projects-and-evaluation/projects/magic-breakfast" TargetMode="External"/><Relationship Id="rId35" Type="http://schemas.openxmlformats.org/officeDocument/2006/relationships/header" Target="header1.xml"/><Relationship Id="rId8" Type="http://schemas.openxmlformats.org/officeDocument/2006/relationships/hyperlink" Target="https://educationendowmentfoundation.org.uk/evidence-summaries/teaching-learning-toolkit/phonic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17</Pages>
  <Words>4725</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Hannah Cover</cp:lastModifiedBy>
  <cp:revision>52</cp:revision>
  <cp:lastPrinted>2014-09-17T21:26:00Z</cp:lastPrinted>
  <dcterms:created xsi:type="dcterms:W3CDTF">2022-11-23T16:24:00Z</dcterms:created>
  <dcterms:modified xsi:type="dcterms:W3CDTF">2022-12-15T10:54:00Z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